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89FAA">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textAlignment w:val="auto"/>
        <w:rPr>
          <w:rFonts w:hint="eastAsia" w:ascii="宋体" w:hAnsi="宋体" w:eastAsia="宋体" w:cs="宋体"/>
          <w:color w:val="1F1F1F"/>
          <w:rtl w:val="0"/>
        </w:rPr>
      </w:pPr>
      <w:r>
        <w:rPr>
          <w:rFonts w:hint="eastAsia" w:ascii="宋体" w:hAnsi="宋体" w:eastAsia="宋体" w:cs="宋体"/>
          <w:color w:val="1F1F1F"/>
          <w:rtl w:val="0"/>
        </w:rPr>
        <w:t>气候变化背景下的典型极端环境事件成因与应对策略综述</w:t>
      </w:r>
    </w:p>
    <w:p w14:paraId="34082081">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姓名：黄子豪    学号：2413989</w:t>
      </w:r>
    </w:p>
    <w:p w14:paraId="3EEB9A18">
      <w:pPr>
        <w:jc w:val="center"/>
        <w:rPr>
          <w:rFonts w:hint="eastAsia" w:ascii="宋体" w:hAnsi="宋体" w:eastAsia="宋体" w:cs="宋体"/>
          <w:b/>
          <w:bCs/>
          <w:sz w:val="24"/>
          <w:szCs w:val="24"/>
          <w:lang w:val="en-US" w:eastAsia="zh-CN"/>
        </w:rPr>
      </w:pPr>
    </w:p>
    <w:p w14:paraId="127CD4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rPr>
      </w:pPr>
      <w:r>
        <w:rPr>
          <w:rFonts w:hint="eastAsia" w:ascii="黑体" w:hAnsi="黑体" w:eastAsia="黑体" w:cs="黑体"/>
          <w:b/>
          <w:bCs/>
          <w:sz w:val="28"/>
          <w:szCs w:val="28"/>
          <w:rtl w:val="0"/>
        </w:rPr>
        <w:t>摘</w:t>
      </w:r>
      <w:r>
        <w:rPr>
          <w:rFonts w:hint="eastAsia" w:ascii="黑体" w:hAnsi="黑体" w:eastAsia="黑体" w:cs="黑体"/>
          <w:b/>
          <w:bCs/>
          <w:sz w:val="28"/>
          <w:szCs w:val="28"/>
          <w:rtl w:val="0"/>
          <w:lang w:val="en-US" w:eastAsia="zh-CN"/>
        </w:rPr>
        <w:t xml:space="preserve">  </w:t>
      </w:r>
      <w:r>
        <w:rPr>
          <w:rFonts w:hint="eastAsia" w:ascii="黑体" w:hAnsi="黑体" w:eastAsia="黑体" w:cs="黑体"/>
          <w:b/>
          <w:bCs/>
          <w:sz w:val="28"/>
          <w:szCs w:val="28"/>
          <w:rtl w:val="0"/>
        </w:rPr>
        <w:t>要</w:t>
      </w:r>
    </w:p>
    <w:p w14:paraId="6E6426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tl w:val="0"/>
        </w:rPr>
      </w:pPr>
      <w:r>
        <w:rPr>
          <w:rFonts w:hint="eastAsia" w:ascii="宋体" w:hAnsi="宋体" w:eastAsia="宋体" w:cs="宋体"/>
          <w:sz w:val="24"/>
          <w:szCs w:val="24"/>
          <w:rtl w:val="0"/>
        </w:rPr>
        <w:t>当前全球气候系统正经历以变暖为核心特征的快速演变，极端天气事件的频发已成为制约社会可持续发展的关键瓶颈。本文基于IPCC第六次评估报告及最新气象监测数据，选取“23·7”华北特大暴雨与2022年长江流域高温干旱为典型案例，梳理了极端事件的物理成因与演变规律。</w:t>
      </w:r>
      <w:r>
        <w:rPr>
          <w:rFonts w:hint="eastAsia" w:ascii="宋体" w:hAnsi="宋体" w:eastAsia="宋体" w:cs="宋体"/>
          <w:sz w:val="24"/>
          <w:szCs w:val="24"/>
          <w:vertAlign w:val="superscript"/>
          <w:rtl w:val="0"/>
          <w:lang w:val="en-US" w:eastAsia="zh-CN"/>
        </w:rPr>
        <w:t>[1][2]</w:t>
      </w:r>
      <w:r>
        <w:rPr>
          <w:rFonts w:hint="eastAsia" w:ascii="宋体" w:hAnsi="宋体" w:eastAsia="宋体" w:cs="宋体"/>
          <w:sz w:val="24"/>
          <w:szCs w:val="24"/>
          <w:rtl w:val="0"/>
        </w:rPr>
        <w:t>研究表明，大气环流异常叠加热力学反馈是导致灾害升级的直接推手。针对此类风险，我从适应与减缓两个维度总结了当前的</w:t>
      </w:r>
      <w:bookmarkStart w:id="0" w:name="_GoBack"/>
      <w:bookmarkEnd w:id="0"/>
      <w:r>
        <w:rPr>
          <w:rFonts w:hint="eastAsia" w:ascii="宋体" w:hAnsi="宋体" w:eastAsia="宋体" w:cs="宋体"/>
          <w:sz w:val="24"/>
          <w:szCs w:val="24"/>
          <w:rtl w:val="0"/>
        </w:rPr>
        <w:t>研究现状：适应方面重点讨论了海绵城市的局限性与AI气象预警的突破；减缓方面则分析了从“能耗双控”向“碳排放双控”转型的制度红利及钙钛矿光伏、钠离子电池等前沿技术的进展。</w:t>
      </w:r>
      <w:r>
        <w:rPr>
          <w:rFonts w:hint="eastAsia" w:ascii="宋体" w:hAnsi="宋体" w:eastAsia="宋体" w:cs="宋体"/>
          <w:sz w:val="24"/>
          <w:szCs w:val="24"/>
          <w:rtl w:val="0"/>
          <w:lang w:val="en-US" w:eastAsia="zh-CN"/>
        </w:rPr>
        <w:t>在</w:t>
      </w:r>
      <w:r>
        <w:rPr>
          <w:rFonts w:hint="eastAsia" w:ascii="宋体" w:hAnsi="宋体" w:eastAsia="宋体" w:cs="宋体"/>
          <w:sz w:val="24"/>
          <w:szCs w:val="24"/>
          <w:rtl w:val="0"/>
        </w:rPr>
        <w:t>文末</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我</w:t>
      </w:r>
      <w:r>
        <w:rPr>
          <w:rFonts w:hint="eastAsia" w:ascii="宋体" w:hAnsi="宋体" w:eastAsia="宋体" w:cs="宋体"/>
          <w:sz w:val="24"/>
          <w:szCs w:val="24"/>
          <w:rtl w:val="0"/>
        </w:rPr>
        <w:t>指出了当前应对体系中存在的工程标准滞后、技术商业化瓶颈等问题，并对构建韧性基础设施和深化碳市场改革提出了建议。</w:t>
      </w:r>
    </w:p>
    <w:p w14:paraId="5BE5DC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tl w:val="0"/>
        </w:rPr>
      </w:pPr>
      <w:r>
        <w:rPr>
          <w:rFonts w:ascii="宋体" w:hAnsi="宋体" w:eastAsia="宋体" w:cs="宋体"/>
          <w:b/>
          <w:bCs/>
          <w:sz w:val="24"/>
          <w:szCs w:val="24"/>
        </w:rPr>
        <w:t>关键词：</w:t>
      </w:r>
      <w:r>
        <w:rPr>
          <w:rFonts w:ascii="宋体" w:hAnsi="宋体" w:eastAsia="宋体" w:cs="宋体"/>
          <w:sz w:val="24"/>
          <w:szCs w:val="24"/>
        </w:rPr>
        <w:t xml:space="preserve"> </w:t>
      </w:r>
      <w:r>
        <w:rPr>
          <w:rFonts w:ascii="宋体" w:hAnsi="宋体" w:eastAsia="宋体" w:cs="宋体"/>
          <w:b w:val="0"/>
          <w:bCs w:val="0"/>
          <w:sz w:val="24"/>
          <w:szCs w:val="24"/>
        </w:rPr>
        <w:t>气候变化；极端天气；物理机制；气候适应；碳排放双控</w:t>
      </w:r>
    </w:p>
    <w:p w14:paraId="39D577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tl w:val="0"/>
        </w:rPr>
      </w:pPr>
    </w:p>
    <w:p w14:paraId="4FB76C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黑体" w:hAnsi="黑体" w:eastAsia="黑体" w:cs="黑体"/>
          <w:b/>
          <w:bCs/>
          <w:sz w:val="28"/>
          <w:szCs w:val="28"/>
        </w:rPr>
      </w:pPr>
      <w:r>
        <w:rPr>
          <w:rFonts w:hint="eastAsia" w:ascii="黑体" w:hAnsi="黑体" w:eastAsia="黑体" w:cs="黑体"/>
          <w:b/>
          <w:bCs/>
          <w:sz w:val="28"/>
          <w:szCs w:val="28"/>
          <w:rtl w:val="0"/>
          <w:lang w:val="en-US" w:eastAsia="zh-CN"/>
        </w:rPr>
        <w:t>一、</w:t>
      </w:r>
      <w:r>
        <w:rPr>
          <w:rFonts w:hint="eastAsia" w:ascii="黑体" w:hAnsi="黑体" w:eastAsia="黑体" w:cs="黑体"/>
          <w:b/>
          <w:bCs/>
          <w:sz w:val="28"/>
          <w:szCs w:val="28"/>
          <w:rtl w:val="0"/>
        </w:rPr>
        <w:t>引言</w:t>
      </w:r>
    </w:p>
    <w:p w14:paraId="5B8D94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tl w:val="0"/>
        </w:rPr>
      </w:pPr>
      <w:r>
        <w:rPr>
          <w:rFonts w:hint="eastAsia" w:ascii="宋体" w:hAnsi="宋体" w:eastAsia="宋体" w:cs="宋体"/>
          <w:sz w:val="24"/>
          <w:szCs w:val="24"/>
          <w:rtl w:val="0"/>
        </w:rPr>
        <w:t>进入21世纪20年代，气候变化已从科学模型的预测图景转变为具象化的现实危机。随着人类活动导致的温室气体浓度持续攀升，全球地表温度屡创新高。2023年至2024年间，全球平均气温首次在完整年度内突破《巴黎协定》设定的1.5°C阈值，标志着气候风险进入了非线性增长的“深水区”。</w:t>
      </w:r>
      <w:r>
        <w:rPr>
          <w:rFonts w:hint="eastAsia" w:ascii="宋体" w:hAnsi="宋体" w:eastAsia="宋体" w:cs="宋体"/>
          <w:sz w:val="24"/>
          <w:szCs w:val="24"/>
          <w:vertAlign w:val="superscript"/>
          <w:rtl w:val="0"/>
          <w:lang w:val="en-US" w:eastAsia="zh-CN"/>
        </w:rPr>
        <w:t>[2]</w:t>
      </w:r>
      <w:r>
        <w:rPr>
          <w:rFonts w:hint="eastAsia" w:ascii="宋体" w:hAnsi="宋体" w:eastAsia="宋体" w:cs="宋体"/>
          <w:sz w:val="24"/>
          <w:szCs w:val="24"/>
          <w:rtl w:val="0"/>
        </w:rPr>
        <w:t>中国地处东亚季风区，气候背景复杂，近年来频繁遭遇突破历史极值的极端天气，如北方的突发性暴雨和南方的持续性热浪。这些事件不仅造成了巨大的经济损失，更暴露了现有基础设施和能源系统在应对极端气候冲击时的脆弱性。在此背景下，系统复盘典型极端事件的成因机制，评估现有适应技术与减缓政策的有效性，对于提升国家气候韧性具有重要的理论与实践意义。</w:t>
      </w:r>
    </w:p>
    <w:p w14:paraId="32935A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tl w:val="0"/>
        </w:rPr>
      </w:pPr>
    </w:p>
    <w:p w14:paraId="7E2543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textAlignment w:val="auto"/>
        <w:rPr>
          <w:rFonts w:hint="eastAsia" w:ascii="黑体" w:hAnsi="黑体" w:eastAsia="黑体" w:cs="黑体"/>
          <w:b/>
          <w:bCs/>
          <w:color w:val="1F1F1F"/>
          <w:sz w:val="28"/>
          <w:szCs w:val="28"/>
          <w:rtl w:val="0"/>
          <w:lang w:val="en-US" w:eastAsia="zh-CN"/>
        </w:rPr>
      </w:pPr>
    </w:p>
    <w:p w14:paraId="56C32C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textAlignment w:val="auto"/>
        <w:rPr>
          <w:rFonts w:hint="eastAsia" w:ascii="黑体" w:hAnsi="黑体" w:eastAsia="黑体" w:cs="黑体"/>
          <w:b/>
          <w:bCs/>
          <w:color w:val="1F1F1F"/>
          <w:sz w:val="28"/>
          <w:szCs w:val="28"/>
        </w:rPr>
      </w:pPr>
      <w:r>
        <w:rPr>
          <w:rFonts w:hint="eastAsia" w:ascii="黑体" w:hAnsi="黑体" w:eastAsia="黑体" w:cs="黑体"/>
          <w:b/>
          <w:bCs/>
          <w:color w:val="1F1F1F"/>
          <w:sz w:val="28"/>
          <w:szCs w:val="28"/>
          <w:rtl w:val="0"/>
          <w:lang w:val="en-US" w:eastAsia="zh-CN"/>
        </w:rPr>
        <w:t>二、</w:t>
      </w:r>
      <w:r>
        <w:rPr>
          <w:rFonts w:hint="eastAsia" w:ascii="黑体" w:hAnsi="黑体" w:eastAsia="黑体" w:cs="黑体"/>
          <w:b/>
          <w:bCs/>
          <w:color w:val="1F1F1F"/>
          <w:sz w:val="28"/>
          <w:szCs w:val="28"/>
          <w:rtl w:val="0"/>
        </w:rPr>
        <w:t>研究进展</w:t>
      </w:r>
    </w:p>
    <w:p w14:paraId="022F5B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tl w:val="0"/>
        </w:rPr>
      </w:pPr>
      <w:r>
        <w:rPr>
          <w:rFonts w:hint="eastAsia" w:ascii="宋体" w:hAnsi="宋体" w:eastAsia="宋体" w:cs="宋体"/>
          <w:b/>
          <w:bCs/>
          <w:sz w:val="24"/>
          <w:szCs w:val="24"/>
          <w:rtl w:val="0"/>
        </w:rPr>
        <w:t>极端环境事件的物理机制解析</w:t>
      </w:r>
    </w:p>
    <w:p w14:paraId="588059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tl w:val="0"/>
        </w:rPr>
      </w:pPr>
    </w:p>
    <w:p w14:paraId="1EAE57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tl w:val="0"/>
        </w:rPr>
        <w:t>理解极端事件的成因是制定对策的前提。近年来学界通过归因分析发现，全球变暖背景下的大气持水能力增强和环流异常是两大核心驱动力。</w:t>
      </w:r>
    </w:p>
    <w:p w14:paraId="2BD8B3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480" w:firstLineChars="200"/>
        <w:textAlignment w:val="auto"/>
        <w:rPr>
          <w:rFonts w:hint="eastAsia" w:ascii="宋体" w:hAnsi="宋体" w:eastAsia="宋体" w:cs="宋体"/>
          <w:color w:val="1F1F1F"/>
          <w:sz w:val="24"/>
          <w:szCs w:val="24"/>
        </w:rPr>
      </w:pPr>
      <w:r>
        <w:rPr>
          <w:rFonts w:hint="eastAsia" w:ascii="宋体" w:hAnsi="宋体" w:eastAsia="宋体" w:cs="宋体"/>
          <w:b w:val="0"/>
          <w:bCs w:val="0"/>
          <w:color w:val="1F1F1F"/>
          <w:sz w:val="24"/>
          <w:szCs w:val="24"/>
          <w:rtl w:val="0"/>
        </w:rPr>
        <w:t>以2023年“23·7”华北特大暴雨为例，该事件具有显著的“复合型”特征。根据克劳修斯-克拉佩龙方程，气温升高直接导致大气可容纳水汽量增加，为降水提供了充沛的“原材料”。</w:t>
      </w:r>
      <w:r>
        <w:rPr>
          <w:rFonts w:hint="eastAsia" w:ascii="宋体" w:hAnsi="宋体" w:eastAsia="宋体" w:cs="宋体"/>
          <w:sz w:val="24"/>
          <w:szCs w:val="24"/>
          <w:vertAlign w:val="superscript"/>
          <w:rtl w:val="0"/>
          <w:lang w:val="en-US" w:eastAsia="zh-CN"/>
        </w:rPr>
        <w:t>[3]</w:t>
      </w:r>
      <w:r>
        <w:rPr>
          <w:rFonts w:hint="eastAsia" w:ascii="宋体" w:hAnsi="宋体" w:eastAsia="宋体" w:cs="宋体"/>
          <w:b w:val="0"/>
          <w:bCs w:val="0"/>
          <w:color w:val="1F1F1F"/>
          <w:sz w:val="24"/>
          <w:szCs w:val="24"/>
          <w:rtl w:val="0"/>
        </w:rPr>
        <w:t>物理机制上，台风“杜苏芮”残余环流与台风“卡努”形成了双台风水汽输送通道，配合副热带高压与大陆高压形成的“高压坝”，导致降雨系统在京津冀地区停</w:t>
      </w:r>
      <w:r>
        <w:rPr>
          <w:rFonts w:hint="eastAsia" w:ascii="宋体" w:hAnsi="宋体" w:eastAsia="宋体" w:cs="宋体"/>
          <w:color w:val="1F1F1F"/>
          <w:sz w:val="24"/>
          <w:szCs w:val="24"/>
          <w:rtl w:val="0"/>
        </w:rPr>
        <w:t>滞少动。加之太行山脉地形的强迫抬升作用，最终酿成了流域性特大洪水。这一案例表明，传统的单一天气系统分析已不足以解释当前的极端降水，多尺度系统共振已成为主要致灾模式。</w:t>
      </w:r>
    </w:p>
    <w:p w14:paraId="2C0C7F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480" w:firstLineChars="200"/>
        <w:textAlignment w:val="auto"/>
        <w:rPr>
          <w:rFonts w:hint="eastAsia" w:ascii="宋体" w:hAnsi="宋体" w:eastAsia="宋体" w:cs="宋体"/>
          <w:color w:val="1F1F1F"/>
          <w:sz w:val="24"/>
          <w:szCs w:val="24"/>
        </w:rPr>
      </w:pPr>
      <w:r>
        <w:rPr>
          <w:rFonts w:hint="eastAsia" w:ascii="宋体" w:hAnsi="宋体" w:eastAsia="宋体" w:cs="宋体"/>
          <w:color w:val="1F1F1F"/>
          <w:sz w:val="24"/>
          <w:szCs w:val="24"/>
          <w:rtl w:val="0"/>
        </w:rPr>
        <w:t>与此形成鲜明对比的</w:t>
      </w:r>
      <w:r>
        <w:rPr>
          <w:rFonts w:hint="eastAsia" w:ascii="宋体" w:hAnsi="宋体" w:eastAsia="宋体" w:cs="宋体"/>
          <w:b w:val="0"/>
          <w:bCs w:val="0"/>
          <w:color w:val="1F1F1F"/>
          <w:sz w:val="24"/>
          <w:szCs w:val="24"/>
          <w:rtl w:val="0"/>
        </w:rPr>
        <w:t>是2022年长江流域的高温干旱。此次事件中，西太</w:t>
      </w:r>
      <w:r>
        <w:rPr>
          <w:rFonts w:hint="eastAsia" w:ascii="宋体" w:hAnsi="宋体" w:eastAsia="宋体" w:cs="宋体"/>
          <w:color w:val="1F1F1F"/>
          <w:sz w:val="24"/>
          <w:szCs w:val="24"/>
          <w:rtl w:val="0"/>
        </w:rPr>
        <w:t>平洋副热带高压异常增强并西伸，与南亚高压重叠，在长江流域上空形成深厚的下沉气流，抑制了降水形成。同时，陆面与大气之间形成了正反馈机制：高温导致土壤水分蒸发殆尽，干燥的土壤无法通过潜热释放来冷却地表，太阳辐射更多转化为感热加热大气，从而加剧了高温。这种“高温-干旱”循环机制揭示了陆面过程在极端气候演变中的关键作用。</w:t>
      </w:r>
    </w:p>
    <w:p w14:paraId="24BB62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tl w:val="0"/>
        </w:rPr>
      </w:pPr>
      <w:r>
        <w:rPr>
          <w:rFonts w:hint="eastAsia" w:ascii="宋体" w:hAnsi="宋体" w:eastAsia="宋体" w:cs="宋体"/>
          <w:b/>
          <w:bCs/>
          <w:sz w:val="24"/>
          <w:szCs w:val="24"/>
          <w:rtl w:val="0"/>
        </w:rPr>
        <w:t>气候适应技术的演进：从工程到智能</w:t>
      </w:r>
    </w:p>
    <w:p w14:paraId="5AE44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tl w:val="0"/>
        </w:rPr>
      </w:pPr>
    </w:p>
    <w:p w14:paraId="6785EF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tl w:val="0"/>
        </w:rPr>
        <w:t>面对日益严峻的气候风险，适应策略正经历从单一工程防御向系统韧性构建的转变。</w:t>
      </w:r>
    </w:p>
    <w:p w14:paraId="505BA8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textAlignment w:val="auto"/>
        <w:rPr>
          <w:rFonts w:hint="eastAsia" w:ascii="宋体" w:hAnsi="宋体" w:eastAsia="宋体" w:cs="宋体"/>
          <w:color w:val="1F1F1F"/>
          <w:sz w:val="24"/>
          <w:szCs w:val="24"/>
        </w:rPr>
      </w:pPr>
      <w:r>
        <w:rPr>
          <w:rFonts w:hint="eastAsia" w:ascii="宋体" w:hAnsi="宋体" w:eastAsia="宋体" w:cs="宋体"/>
          <w:b w:val="0"/>
          <w:bCs w:val="0"/>
          <w:color w:val="1F1F1F"/>
          <w:sz w:val="24"/>
          <w:szCs w:val="24"/>
          <w:rtl w:val="0"/>
        </w:rPr>
        <w:t>海绵城市的反思与修正</w:t>
      </w:r>
      <w:r>
        <w:rPr>
          <w:rFonts w:hint="eastAsia" w:ascii="宋体" w:hAnsi="宋体" w:eastAsia="宋体" w:cs="宋体"/>
          <w:color w:val="1F1F1F"/>
          <w:sz w:val="24"/>
          <w:szCs w:val="24"/>
          <w:rtl w:val="0"/>
        </w:rPr>
        <w:t>是近年来的研究热点。海绵城市理念旨在通过绿色基础设施实现雨水的自然积存与渗透，在应对常态化降雨时效果显著。然而，“23·7”暴雨暴露了其在应对超标准极端降雨时的局限性——当土壤饱和后，绿色设施的调蓄能力迅速失效。当前学术界与工程界已达成共识，必须构建“灰绿结合”的防御体系，即在推广绿色设施的同时，强化深层排水隧道等“灰色”骨干工程，并基于气候预测模型动态修订城市防洪排涝标准。</w:t>
      </w:r>
    </w:p>
    <w:p w14:paraId="1EEA84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720" w:firstLineChars="300"/>
        <w:textAlignment w:val="auto"/>
        <w:rPr>
          <w:rFonts w:hint="eastAsia" w:ascii="宋体" w:hAnsi="宋体" w:eastAsia="宋体" w:cs="宋体"/>
          <w:color w:val="1F1F1F"/>
          <w:sz w:val="24"/>
          <w:szCs w:val="24"/>
        </w:rPr>
      </w:pPr>
      <w:r>
        <w:rPr>
          <w:rFonts w:hint="eastAsia" w:ascii="宋体" w:hAnsi="宋体" w:eastAsia="宋体" w:cs="宋体"/>
          <w:b w:val="0"/>
          <w:bCs w:val="0"/>
          <w:color w:val="1F1F1F"/>
          <w:sz w:val="24"/>
          <w:szCs w:val="24"/>
          <w:rtl w:val="0"/>
        </w:rPr>
        <w:t>人工智能在气象预警中的应用</w:t>
      </w:r>
      <w:r>
        <w:rPr>
          <w:rFonts w:hint="eastAsia" w:ascii="宋体" w:hAnsi="宋体" w:eastAsia="宋体" w:cs="宋体"/>
          <w:color w:val="1F1F1F"/>
          <w:sz w:val="24"/>
          <w:szCs w:val="24"/>
          <w:rtl w:val="0"/>
        </w:rPr>
        <w:t>取得了革命性突破。2024年以来，以“盘古”、“风乌”为代表的AI气象大模型投入业务化试运行。与基于流体力学方程的传统数值模式相比，AI模型利用深度学习算法从海量历史数据中挖掘演变规律，在计算效率上实现了指数级提升，且在台风路径预测等特定指标上超越了欧洲中期天气预报中心的传统模式。</w:t>
      </w:r>
      <w:r>
        <w:rPr>
          <w:rFonts w:hint="eastAsia" w:ascii="宋体" w:hAnsi="宋体" w:eastAsia="宋体" w:cs="宋体"/>
          <w:sz w:val="24"/>
          <w:szCs w:val="24"/>
          <w:vertAlign w:val="superscript"/>
          <w:rtl w:val="0"/>
          <w:lang w:val="en-US" w:eastAsia="zh-CN"/>
        </w:rPr>
        <w:t>[4]</w:t>
      </w:r>
      <w:r>
        <w:rPr>
          <w:rFonts w:hint="eastAsia" w:ascii="宋体" w:hAnsi="宋体" w:eastAsia="宋体" w:cs="宋体"/>
          <w:color w:val="1F1F1F"/>
          <w:sz w:val="24"/>
          <w:szCs w:val="24"/>
          <w:rtl w:val="0"/>
        </w:rPr>
        <w:t>这为防灾减灾争取了宝贵的“黄金窗口期”，但其物理可解释性较弱仍是后续研究需解决的问题。</w:t>
      </w:r>
    </w:p>
    <w:p w14:paraId="508D0D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tl w:val="0"/>
        </w:rPr>
      </w:pPr>
      <w:r>
        <w:rPr>
          <w:rFonts w:hint="eastAsia" w:ascii="宋体" w:hAnsi="宋体" w:eastAsia="宋体" w:cs="宋体"/>
          <w:b/>
          <w:bCs/>
          <w:sz w:val="24"/>
          <w:szCs w:val="24"/>
          <w:rtl w:val="0"/>
        </w:rPr>
        <w:t>减缓策略的深化：制度转型与技术突破</w:t>
      </w:r>
    </w:p>
    <w:p w14:paraId="379F98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tl w:val="0"/>
        </w:rPr>
      </w:pPr>
    </w:p>
    <w:p w14:paraId="7F99E7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tl w:val="0"/>
        </w:rPr>
        <w:t>在实现“双碳”目标的进程中，减缓措施正从宏观政策引导向微观技术落地纵深发展。</w:t>
      </w:r>
    </w:p>
    <w:p w14:paraId="609964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480" w:firstLineChars="200"/>
        <w:textAlignment w:val="auto"/>
        <w:rPr>
          <w:rFonts w:hint="eastAsia" w:ascii="宋体" w:hAnsi="宋体" w:eastAsia="宋体" w:cs="宋体"/>
          <w:color w:val="1F1F1F"/>
          <w:sz w:val="24"/>
          <w:szCs w:val="24"/>
        </w:rPr>
      </w:pPr>
      <w:r>
        <w:rPr>
          <w:rFonts w:hint="eastAsia" w:ascii="宋体" w:hAnsi="宋体" w:eastAsia="宋体" w:cs="宋体"/>
          <w:b w:val="0"/>
          <w:bCs w:val="0"/>
          <w:color w:val="1F1F1F"/>
          <w:sz w:val="24"/>
          <w:szCs w:val="24"/>
          <w:rtl w:val="0"/>
        </w:rPr>
        <w:t>政策制度的根本性变革</w:t>
      </w:r>
      <w:r>
        <w:rPr>
          <w:rFonts w:hint="eastAsia" w:ascii="宋体" w:hAnsi="宋体" w:eastAsia="宋体" w:cs="宋体"/>
          <w:color w:val="1F1F1F"/>
          <w:sz w:val="24"/>
          <w:szCs w:val="24"/>
          <w:rtl w:val="0"/>
        </w:rPr>
        <w:t>体现在从“能耗双控”向“碳排放双控”的转型。长期以来，能耗总量控制在一定程度上限制了可再生能源的消费。新的碳排放双控机制明确将非化石能源消费剔除出总量考核，这一制度设计从根源上消除了绿电消费的政策天花板，极大地激励了新能源的发展。同时，全国碳排放权交易市场正逐步纳入钢铁、水泥等高排行业，并探索从碳强度控制向碳排放总量控制过渡，利用市场机制倒逼企业进行低碳转型。</w:t>
      </w:r>
      <w:r>
        <w:rPr>
          <w:rFonts w:hint="eastAsia" w:ascii="宋体" w:hAnsi="宋体" w:eastAsia="宋体" w:cs="宋体"/>
          <w:sz w:val="24"/>
          <w:szCs w:val="24"/>
          <w:vertAlign w:val="superscript"/>
          <w:rtl w:val="0"/>
          <w:lang w:val="en-US" w:eastAsia="zh-CN"/>
        </w:rPr>
        <w:t>[5]</w:t>
      </w:r>
    </w:p>
    <w:p w14:paraId="13245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480" w:firstLineChars="200"/>
        <w:textAlignment w:val="auto"/>
        <w:rPr>
          <w:rFonts w:hint="eastAsia" w:ascii="宋体" w:hAnsi="宋体" w:eastAsia="宋体" w:cs="宋体"/>
          <w:color w:val="1F1F1F"/>
          <w:sz w:val="24"/>
          <w:szCs w:val="24"/>
        </w:rPr>
      </w:pPr>
      <w:r>
        <w:rPr>
          <w:rFonts w:hint="eastAsia" w:ascii="宋体" w:hAnsi="宋体" w:eastAsia="宋体" w:cs="宋体"/>
          <w:b w:val="0"/>
          <w:bCs w:val="0"/>
          <w:color w:val="1F1F1F"/>
          <w:sz w:val="24"/>
          <w:szCs w:val="24"/>
          <w:rtl w:val="0"/>
        </w:rPr>
        <w:t>关键低碳技术的代际更替</w:t>
      </w:r>
      <w:r>
        <w:rPr>
          <w:rFonts w:hint="eastAsia" w:ascii="宋体" w:hAnsi="宋体" w:eastAsia="宋体" w:cs="宋体"/>
          <w:color w:val="1F1F1F"/>
          <w:sz w:val="24"/>
          <w:szCs w:val="24"/>
          <w:rtl w:val="0"/>
        </w:rPr>
        <w:t>也在加速。光伏领域，钙钛矿电池因其理论效率高、制造成本低的优势，被视为下一代主流技术，目前叠层电池效率已突破34%，正处于从实验室走向规模化量产的关键期。储能领域，钠离子电池凭借资源丰富、低温性能优异的特点，成为锂电池的重要补充，尤其在大规模电网储能中展现出广阔前景，有效解决了新能源发电波动性的消纳难题。</w:t>
      </w:r>
    </w:p>
    <w:p w14:paraId="16EF7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textAlignment w:val="auto"/>
        <w:rPr>
          <w:rFonts w:hint="eastAsia" w:ascii="黑体" w:hAnsi="黑体" w:eastAsia="黑体" w:cs="黑体"/>
          <w:b/>
          <w:bCs/>
          <w:color w:val="1F1F1F"/>
          <w:sz w:val="28"/>
          <w:szCs w:val="28"/>
        </w:rPr>
      </w:pPr>
      <w:r>
        <w:rPr>
          <w:rFonts w:hint="eastAsia" w:ascii="黑体" w:hAnsi="黑体" w:eastAsia="黑体" w:cs="黑体"/>
          <w:b/>
          <w:bCs/>
          <w:color w:val="1F1F1F"/>
          <w:sz w:val="28"/>
          <w:szCs w:val="28"/>
          <w:rtl w:val="0"/>
          <w:lang w:val="en-US" w:eastAsia="zh-CN"/>
        </w:rPr>
        <w:t>三、</w:t>
      </w:r>
      <w:r>
        <w:rPr>
          <w:rFonts w:hint="eastAsia" w:ascii="黑体" w:hAnsi="黑体" w:eastAsia="黑体" w:cs="黑体"/>
          <w:b/>
          <w:bCs/>
          <w:color w:val="1F1F1F"/>
          <w:sz w:val="28"/>
          <w:szCs w:val="28"/>
          <w:rtl w:val="0"/>
        </w:rPr>
        <w:t>结论与建议</w:t>
      </w:r>
    </w:p>
    <w:p w14:paraId="0F79A8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rtl w:val="0"/>
        </w:rPr>
        <w:t>综上所述，当前气候变化研究已清晰揭示了极端事件频发的物理机制，且在适应技术与减缓措施上均取得了实质性进展。然而，面对气候风险的非线性增长，现有的应对体系仍存在滞后性：城市基础设施的设计标准尚未完全适应新的气候常态，海绵城市等适应性工程在极端灾害下的冗余度不足；AI气象预报虽快但物理机制解释不足；低碳前沿技术的大规模商业化仍面临成本与稳定性的双重挑战。</w:t>
      </w:r>
    </w:p>
    <w:p w14:paraId="30EF58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480" w:firstLineChars="200"/>
        <w:textAlignment w:val="auto"/>
        <w:rPr>
          <w:rFonts w:hint="eastAsia" w:asciiTheme="minorEastAsia" w:hAnsiTheme="minorEastAsia" w:eastAsiaTheme="minorEastAsia" w:cstheme="minorEastAsia"/>
          <w:b w:val="0"/>
          <w:bCs w:val="0"/>
          <w:color w:val="1F1F1F"/>
          <w:sz w:val="24"/>
          <w:szCs w:val="24"/>
        </w:rPr>
      </w:pPr>
      <w:r>
        <w:rPr>
          <w:rFonts w:hint="eastAsia" w:asciiTheme="minorEastAsia" w:hAnsiTheme="minorEastAsia" w:eastAsiaTheme="minorEastAsia" w:cstheme="minorEastAsia"/>
          <w:b w:val="0"/>
          <w:bCs w:val="0"/>
          <w:color w:val="1F1F1F"/>
          <w:sz w:val="24"/>
          <w:szCs w:val="24"/>
          <w:rtl w:val="0"/>
        </w:rPr>
        <w:t>针对未来研究与实践，</w:t>
      </w:r>
      <w:r>
        <w:rPr>
          <w:rFonts w:hint="eastAsia" w:asciiTheme="minorEastAsia" w:hAnsiTheme="minorEastAsia" w:eastAsiaTheme="minorEastAsia" w:cstheme="minorEastAsia"/>
          <w:b w:val="0"/>
          <w:bCs w:val="0"/>
          <w:color w:val="1F1F1F"/>
          <w:sz w:val="24"/>
          <w:szCs w:val="24"/>
          <w:rtl w:val="0"/>
          <w:lang w:val="en-US" w:eastAsia="zh-CN"/>
        </w:rPr>
        <w:t>我</w:t>
      </w:r>
      <w:r>
        <w:rPr>
          <w:rFonts w:hint="eastAsia" w:asciiTheme="minorEastAsia" w:hAnsiTheme="minorEastAsia" w:eastAsiaTheme="minorEastAsia" w:cstheme="minorEastAsia"/>
          <w:b w:val="0"/>
          <w:bCs w:val="0"/>
          <w:color w:val="1F1F1F"/>
          <w:sz w:val="24"/>
          <w:szCs w:val="24"/>
          <w:rtl w:val="0"/>
        </w:rPr>
        <w:t>提出以下建议：首先，强化基础科学与工程设计的融合，将最新的气候预测数据直接纳入水利、建筑等基础设施的设计规范中，提升工程的耐候性。其次，推动“灰绿结合”的系统性治理，打破单一学科壁垒，统筹流域尺度的水文管理与城市尺度的排涝工程。再次，深化碳市场的价格发现功能，通过扩容与总量控制，让碳价真实反映环境成本，从而引导资本流向钠离子电池、新型光伏等硬科技领域。最后，加强数据质量监管，无论是在碳交易还是气象预警中，高质量的数据都是科学决策的基石。</w:t>
      </w:r>
    </w:p>
    <w:p w14:paraId="7998D2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黑体" w:hAnsi="黑体" w:eastAsia="黑体" w:cs="黑体"/>
          <w:b/>
          <w:bCs/>
          <w:sz w:val="28"/>
          <w:szCs w:val="28"/>
        </w:rPr>
      </w:pPr>
      <w:r>
        <w:rPr>
          <w:rFonts w:hint="eastAsia" w:ascii="黑体" w:hAnsi="黑体" w:eastAsia="黑体" w:cs="黑体"/>
          <w:b/>
          <w:bCs/>
          <w:sz w:val="28"/>
          <w:szCs w:val="28"/>
          <w:rtl w:val="0"/>
        </w:rPr>
        <w:t>参考文献</w:t>
      </w:r>
    </w:p>
    <w:p w14:paraId="7EEAC9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tl w:val="0"/>
        </w:rPr>
        <w:t>[1] IPCC. Climate Change 2023: Synthesis Report. Contribution of Working Groups I, II and III to the Sixth Assessment Report of the Intergovernmental Panel on Climate Change. Geneva: IPCC, 2023.</w:t>
      </w:r>
    </w:p>
    <w:p w14:paraId="6B707B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tl w:val="0"/>
        </w:rPr>
        <w:t>[2] 中国气象局气候变化中心. 中国气候变化蓝皮书(2024)[M]. 北京: 科学出版社, 2024.</w:t>
      </w:r>
    </w:p>
    <w:p w14:paraId="6B3085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tl w:val="0"/>
        </w:rPr>
        <w:t>[3] Zhang, et al. Analysis of the characteristics and causes of the "23·7" extreme rainstorm in North China. Acta Meteorologica Sinica, 2024.</w:t>
      </w:r>
    </w:p>
    <w:p w14:paraId="1DA688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tl w:val="0"/>
        </w:rPr>
        <w:t>[4] Bi, K., et al. Accurate medium-range global weather forecasting with 3D neural networks. Nature, 2023, 619: 533–538.</w:t>
      </w:r>
    </w:p>
    <w:p w14:paraId="0506E8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tl w:val="0"/>
        </w:rPr>
        <w:t>[5] 生态环境部. 全国碳排放权交易市场建设情况及未来展望报告. 2024.</w:t>
      </w:r>
    </w:p>
    <w:p w14:paraId="614E9FD7"/>
    <w:p w14:paraId="1A11FEF5"/>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B73D8"/>
    <w:rsid w:val="13B50586"/>
    <w:rsid w:val="52951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2550</Words>
  <Characters>2919</Characters>
  <Lines>0</Lines>
  <Paragraphs>0</Paragraphs>
  <TotalTime>2</TotalTime>
  <ScaleCrop>false</ScaleCrop>
  <LinksUpToDate>false</LinksUpToDate>
  <CharactersWithSpaces>2996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2026-01-05T02:27:00Z</dcterms:created>
  <dc:creator>Zander</dc:creator>
  <cp:lastModifiedBy>黄子豪</cp:lastModifiedBy>
  <dcterms:modified xsi:type="dcterms:W3CDTF">2026-01-05T02:41:24Z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eyJoZGlkIjoiYWU0NTlhZjk4ODhjNGY3ZWViNTQ2ZjJkN2ZkODI1YjUiLCJ1c2VySWQiOiIxNjYzNDcxMDE1In0=</vt:lpwstr>
  </property>
  <property fmtid="{D5CDD505-2E9C-101B-9397-08002B2CF9AE}" pid="4" name="ICV">
    <vt:lpwstr>C72F0385386444B1A6E810FC06B57BB9_12</vt:lpwstr>
  </property>
</Properties>
</file>