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C2D6EE">
      <w:pPr>
        <w:pStyle w:val="2"/>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cs="华文宋体" w:asciiTheme="minorEastAsia" w:hAnsiTheme="minorEastAsia" w:eastAsiaTheme="minorEastAsia"/>
          <w:color w:val="1F1F1F"/>
        </w:rPr>
      </w:pPr>
      <w:r>
        <w:rPr>
          <w:rFonts w:cs="华文宋体" w:asciiTheme="minorEastAsia" w:hAnsiTheme="minorEastAsia" w:eastAsiaTheme="minorEastAsia"/>
          <w:color w:val="1F1F1F"/>
        </w:rPr>
        <w:t>从“试错”到“智造”：</w:t>
      </w:r>
      <w:r>
        <w:rPr>
          <w:rFonts w:asciiTheme="minorEastAsia" w:hAnsiTheme="minorEastAsia" w:eastAsiaTheme="minorEastAsia"/>
          <w:b w:val="0"/>
          <w:bCs w:val="0"/>
          <w:sz w:val="22"/>
          <w:szCs w:val="22"/>
        </w:rPr>
        <w:t xml:space="preserve"> </w:t>
      </w:r>
      <w:r>
        <w:rPr>
          <w:rFonts w:cs="华文宋体" w:asciiTheme="minorEastAsia" w:hAnsiTheme="minorEastAsia" w:eastAsiaTheme="minorEastAsia"/>
          <w:color w:val="1F1F1F"/>
        </w:rPr>
        <w:t>深度学习辅助材料筛选</w:t>
      </w:r>
      <w:r>
        <w:rPr>
          <w:rFonts w:hint="eastAsia" w:cs="华文宋体" w:asciiTheme="minorEastAsia" w:hAnsiTheme="minorEastAsia" w:eastAsiaTheme="minorEastAsia"/>
          <w:color w:val="1F1F1F"/>
        </w:rPr>
        <w:t>的思考</w:t>
      </w:r>
    </w:p>
    <w:p w14:paraId="00000002">
      <w:pPr>
        <w:pStyle w:val="2"/>
        <w:keepNext w:val="0"/>
        <w:keepLines w:val="0"/>
        <w:pageBreakBefore w:val="0"/>
        <w:widowControl w:val="0"/>
        <w:kinsoku/>
        <w:wordWrap/>
        <w:overflowPunct/>
        <w:topLinePunct w:val="0"/>
        <w:autoSpaceDE/>
        <w:autoSpaceDN/>
        <w:bidi w:val="0"/>
        <w:adjustRightInd/>
        <w:snapToGrid/>
        <w:spacing w:before="120" w:after="120" w:line="240" w:lineRule="auto"/>
        <w:textAlignment w:val="auto"/>
        <w:rPr>
          <w:rFonts w:cs="华文宋体" w:asciiTheme="minorEastAsia" w:hAnsiTheme="minorEastAsia" w:eastAsiaTheme="minorEastAsia"/>
          <w:color w:val="1F1F1F"/>
        </w:rPr>
      </w:pPr>
      <w:r>
        <w:rPr>
          <w:rFonts w:cs="华文宋体" w:asciiTheme="minorEastAsia" w:hAnsiTheme="minorEastAsia" w:eastAsiaTheme="minorEastAsia"/>
          <w:color w:val="1F1F1F"/>
        </w:rPr>
        <w:t>——以DeepMind GNoME系统及其对生物质催化领域为例</w:t>
      </w:r>
    </w:p>
    <w:p w14:paraId="1FF38209">
      <w:pPr>
        <w:rPr>
          <w:rFonts w:hint="eastAsia"/>
        </w:rPr>
      </w:pPr>
      <w:bookmarkStart w:id="0" w:name="_GoBack"/>
      <w:bookmarkEnd w:id="0"/>
    </w:p>
    <w:p w14:paraId="00000003">
      <w:pPr>
        <w:keepNext w:val="0"/>
        <w:keepLines w:val="0"/>
        <w:pageBreakBefore w:val="0"/>
        <w:widowControl w:val="0"/>
        <w:kinsoku/>
        <w:wordWrap/>
        <w:overflowPunct/>
        <w:topLinePunct w:val="0"/>
        <w:autoSpaceDE/>
        <w:autoSpaceDN/>
        <w:bidi w:val="0"/>
        <w:adjustRightInd/>
        <w:snapToGrid/>
        <w:spacing w:after="240" w:line="360" w:lineRule="auto"/>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b/>
          <w:bCs/>
          <w:color w:val="1F1F1F"/>
          <w:sz w:val="24"/>
          <w:szCs w:val="24"/>
        </w:rPr>
        <w:t>摘要：</w:t>
      </w:r>
      <w:r>
        <w:rPr>
          <w:rFonts w:cs="华文宋体" w:asciiTheme="minorEastAsia" w:hAnsiTheme="minorEastAsia" w:eastAsiaTheme="minorEastAsia"/>
          <w:color w:val="1F1F1F"/>
        </w:rPr>
        <w:t xml:space="preserve"> </w:t>
      </w:r>
      <w:r>
        <w:rPr>
          <w:rFonts w:cs="华文宋体" w:asciiTheme="minorEastAsia" w:hAnsiTheme="minorEastAsia" w:eastAsiaTheme="minorEastAsia"/>
          <w:color w:val="1F1F1F"/>
          <w:sz w:val="24"/>
          <w:szCs w:val="24"/>
        </w:rPr>
        <w:t>人类科学技术的发展史，本质上是一部探索物质规律的历史。长期以来，新材料的研发（如高效催化剂、高性能电池材料）主要依赖“爱迪生式”的试错法，面临着周期长、成本高、偶然性强的系统性瓶颈。随着大数据与人工智能技术的爆发，科学研究正在经历从“实验范式”向“数据范式”的系统性转型。本文以Google DeepMind团队发布的“材料探索图网络”为核心案例，从软件专业的视角，剖析了深度学习如何通过图神经网络与主动学习工作流，重构材料发现的底层逻辑。同时，结合生物质资源化领域的实际需求，探讨了该计算范式在加速固体酸催化剂筛选、推动绿色化工系统创新中的应用前景，旨在揭示跨学科交叉在现代工程创新中的决定性作用。</w:t>
      </w:r>
    </w:p>
    <w:p w14:paraId="00000004">
      <w:pPr>
        <w:keepNext w:val="0"/>
        <w:keepLines w:val="0"/>
        <w:pageBreakBefore w:val="0"/>
        <w:widowControl w:val="0"/>
        <w:kinsoku/>
        <w:wordWrap/>
        <w:overflowPunct/>
        <w:topLinePunct w:val="0"/>
        <w:autoSpaceDE/>
        <w:autoSpaceDN/>
        <w:bidi w:val="0"/>
        <w:adjustRightInd/>
        <w:snapToGrid/>
        <w:spacing w:after="240" w:line="360" w:lineRule="auto"/>
        <w:textAlignment w:val="auto"/>
        <w:rPr>
          <w:rFonts w:cs="华文宋体" w:asciiTheme="minorEastAsia" w:hAnsiTheme="minorEastAsia" w:eastAsiaTheme="minorEastAsia"/>
          <w:color w:val="1F1F1F"/>
          <w:sz w:val="24"/>
          <w:szCs w:val="24"/>
        </w:rPr>
      </w:pPr>
      <w:r>
        <w:rPr>
          <w:rFonts w:cs="华文宋体" w:asciiTheme="minorEastAsia" w:hAnsiTheme="minorEastAsia" w:eastAsiaTheme="minorEastAsia"/>
          <w:b/>
          <w:bCs/>
          <w:color w:val="1F1F1F"/>
          <w:sz w:val="24"/>
          <w:szCs w:val="24"/>
        </w:rPr>
        <w:t>关键词：</w:t>
      </w:r>
      <w:r>
        <w:rPr>
          <w:rFonts w:cs="华文宋体" w:asciiTheme="minorEastAsia" w:hAnsiTheme="minorEastAsia" w:eastAsiaTheme="minorEastAsia"/>
          <w:color w:val="1F1F1F"/>
          <w:sz w:val="24"/>
          <w:szCs w:val="24"/>
        </w:rPr>
        <w:t xml:space="preserve"> </w:t>
      </w:r>
      <w:r>
        <w:rPr>
          <w:rFonts w:hint="eastAsia" w:cs="华文宋体" w:asciiTheme="minorEastAsia" w:hAnsiTheme="minorEastAsia" w:eastAsiaTheme="minorEastAsia"/>
          <w:color w:val="1F1F1F"/>
          <w:sz w:val="24"/>
          <w:szCs w:val="24"/>
        </w:rPr>
        <w:t>科技</w:t>
      </w:r>
      <w:r>
        <w:rPr>
          <w:rFonts w:cs="华文宋体" w:asciiTheme="minorEastAsia" w:hAnsiTheme="minorEastAsia" w:eastAsiaTheme="minorEastAsia"/>
          <w:color w:val="1F1F1F"/>
          <w:sz w:val="24"/>
          <w:szCs w:val="24"/>
        </w:rPr>
        <w:t>创新；人工智能；GNoME；生物质催化；</w:t>
      </w:r>
    </w:p>
    <w:p w14:paraId="6EE12A43">
      <w:pPr>
        <w:keepNext w:val="0"/>
        <w:keepLines w:val="0"/>
        <w:pageBreakBefore w:val="0"/>
        <w:widowControl w:val="0"/>
        <w:kinsoku/>
        <w:wordWrap/>
        <w:overflowPunct/>
        <w:topLinePunct w:val="0"/>
        <w:autoSpaceDE/>
        <w:autoSpaceDN/>
        <w:bidi w:val="0"/>
        <w:adjustRightInd/>
        <w:snapToGrid/>
        <w:spacing w:after="240" w:line="360" w:lineRule="auto"/>
        <w:textAlignment w:val="auto"/>
        <w:rPr>
          <w:rFonts w:hint="eastAsia" w:cs="华文宋体" w:asciiTheme="minorEastAsia" w:hAnsiTheme="minorEastAsia" w:eastAsiaTheme="minorEastAsia"/>
          <w:color w:val="1F1F1F"/>
        </w:rPr>
      </w:pPr>
    </w:p>
    <w:p w14:paraId="00000005">
      <w:pPr>
        <w:pStyle w:val="4"/>
        <w:keepNext w:val="0"/>
        <w:keepLines w:val="0"/>
        <w:pageBreakBefore w:val="0"/>
        <w:widowControl w:val="0"/>
        <w:numPr>
          <w:ilvl w:val="0"/>
          <w:numId w:val="1"/>
        </w:numPr>
        <w:kinsoku/>
        <w:wordWrap/>
        <w:overflowPunct/>
        <w:topLinePunct w:val="0"/>
        <w:autoSpaceDE/>
        <w:autoSpaceDN/>
        <w:bidi w:val="0"/>
        <w:adjustRightInd/>
        <w:snapToGrid/>
        <w:spacing w:before="120" w:after="120" w:line="360" w:lineRule="auto"/>
        <w:textAlignment w:val="auto"/>
        <w:rPr>
          <w:rFonts w:cs="华文宋体" w:asciiTheme="minorEastAsia" w:hAnsiTheme="minorEastAsia" w:eastAsiaTheme="minorEastAsia"/>
          <w:color w:val="1F1F1F"/>
        </w:rPr>
      </w:pPr>
      <w:r>
        <w:rPr>
          <w:rFonts w:cs="华文宋体" w:asciiTheme="minorEastAsia" w:hAnsiTheme="minorEastAsia" w:eastAsiaTheme="minorEastAsia"/>
          <w:color w:val="1F1F1F"/>
        </w:rPr>
        <w:t>引言：计算科学与实验科学的融合</w:t>
      </w:r>
    </w:p>
    <w:p w14:paraId="723E7E7A">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cs="华文宋体" w:asciiTheme="minorEastAsia" w:hAnsiTheme="minorEastAsia" w:eastAsiaTheme="minorEastAsia"/>
          <w:color w:val="1F1F1F"/>
          <w:sz w:val="24"/>
          <w:szCs w:val="24"/>
        </w:rPr>
      </w:pPr>
      <w:r>
        <w:rPr>
          <w:rFonts w:hint="eastAsia" w:cs="华文宋体" w:asciiTheme="minorEastAsia" w:hAnsiTheme="minorEastAsia" w:eastAsiaTheme="minorEastAsia"/>
          <w:color w:val="1F1F1F"/>
          <w:sz w:val="24"/>
          <w:szCs w:val="24"/>
        </w:rPr>
        <w:t>在修读本课程之前，我对科学发现的理解往往停留在“神农尝百草”或“爱迪生试灯丝”的叙事中。我们习惯赞颂这种不屈不挠的试错精神，却鲜少反思其在系统工程层面的低效。随着现代工程复杂度的指数级上升，单纯依赖经验和运气的“爱迪生范式”已逐渐触及天花板。</w:t>
      </w:r>
    </w:p>
    <w:p w14:paraId="156DFEE6">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cs="华文宋体" w:asciiTheme="minorEastAsia" w:hAnsiTheme="minorEastAsia" w:eastAsiaTheme="minorEastAsia"/>
          <w:color w:val="1F1F1F"/>
          <w:sz w:val="24"/>
          <w:szCs w:val="24"/>
        </w:rPr>
      </w:pPr>
      <w:r>
        <w:rPr>
          <w:rFonts w:hint="eastAsia" w:cs="华文宋体" w:asciiTheme="minorEastAsia" w:hAnsiTheme="minorEastAsia" w:eastAsiaTheme="minorEastAsia"/>
          <w:color w:val="1F1F1F"/>
          <w:sz w:val="24"/>
          <w:szCs w:val="24"/>
        </w:rPr>
        <w:t>这一点在化学化工领域表现得尤为明显。</w:t>
      </w:r>
      <w:r>
        <w:rPr>
          <w:rFonts w:cs="华文宋体" w:asciiTheme="minorEastAsia" w:hAnsiTheme="minorEastAsia" w:eastAsiaTheme="minorEastAsia"/>
          <w:color w:val="1F1F1F"/>
          <w:sz w:val="24"/>
          <w:szCs w:val="24"/>
        </w:rPr>
        <w:t xml:space="preserve">以生物质资源化为例，为了实现“双碳”目标，将秸秆等废弃生物质转化为高价值的化学品，核心难点在于寻找一种高活性、高选择性且耐水的催化剂。然而，化学空间是近乎无限的，潜在的分子组合数量高达 </w:t>
      </w:r>
      <m:oMath>
        <m:sSup>
          <m:sSupPr>
            <m:ctrlPr>
              <w:rPr>
                <w:rFonts w:ascii="Cambria Math" w:hAnsi="Cambria Math" w:cs="华文宋体" w:eastAsiaTheme="minorEastAsia"/>
                <w:color w:val="1F1F1F"/>
                <w:sz w:val="24"/>
                <w:szCs w:val="24"/>
              </w:rPr>
            </m:ctrlPr>
          </m:sSupPr>
          <m:e>
            <m:r>
              <m:rPr/>
              <w:rPr>
                <w:rFonts w:ascii="Cambria Math" w:hAnsi="Cambria Math" w:cs="华文宋体" w:eastAsiaTheme="minorEastAsia"/>
                <w:color w:val="1F1F1F"/>
                <w:sz w:val="24"/>
                <w:szCs w:val="24"/>
              </w:rPr>
              <m:t>10</m:t>
            </m:r>
            <m:ctrlPr>
              <w:rPr>
                <w:rFonts w:ascii="Cambria Math" w:hAnsi="Cambria Math" w:cs="华文宋体" w:eastAsiaTheme="minorEastAsia"/>
                <w:color w:val="1F1F1F"/>
                <w:sz w:val="24"/>
                <w:szCs w:val="24"/>
              </w:rPr>
            </m:ctrlPr>
          </m:e>
          <m:sup>
            <m:r>
              <m:rPr/>
              <w:rPr>
                <w:rFonts w:ascii="Cambria Math" w:hAnsi="Cambria Math" w:cs="华文宋体" w:eastAsiaTheme="minorEastAsia"/>
                <w:color w:val="1F1F1F"/>
                <w:sz w:val="24"/>
                <w:szCs w:val="24"/>
              </w:rPr>
              <m:t>60</m:t>
            </m:r>
            <m:ctrlPr>
              <w:rPr>
                <w:rFonts w:ascii="Cambria Math" w:hAnsi="Cambria Math" w:cs="华文宋体" w:eastAsiaTheme="minorEastAsia"/>
                <w:color w:val="1F1F1F"/>
                <w:sz w:val="24"/>
                <w:szCs w:val="24"/>
              </w:rPr>
            </m:ctrlPr>
          </m:sup>
        </m:sSup>
      </m:oMath>
      <w:r>
        <w:rPr>
          <w:rFonts w:cs="华文宋体" w:asciiTheme="minorEastAsia" w:hAnsiTheme="minorEastAsia" w:eastAsiaTheme="minorEastAsia"/>
          <w:color w:val="1F1F1F"/>
          <w:sz w:val="24"/>
          <w:szCs w:val="24"/>
        </w:rPr>
        <w:t xml:space="preserve"> 种。传统的实验室研发模式，往往依赖科学家的直觉和大量的重复实验，面对如此庞大的搜索空间，效率极低。</w:t>
      </w:r>
    </w:p>
    <w:p w14:paraId="07609B78">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cs="华文宋体" w:asciiTheme="minorEastAsia" w:hAnsiTheme="minorEastAsia" w:eastAsiaTheme="minorEastAsia"/>
          <w:color w:val="1F1F1F"/>
          <w:sz w:val="24"/>
          <w:szCs w:val="24"/>
        </w:rPr>
      </w:pPr>
      <w:r>
        <w:rPr>
          <w:rFonts w:hint="eastAsia" w:cs="华文宋体" w:asciiTheme="minorEastAsia" w:hAnsiTheme="minorEastAsia" w:eastAsiaTheme="minorEastAsia"/>
          <w:color w:val="1F1F1F"/>
          <w:sz w:val="24"/>
          <w:szCs w:val="24"/>
        </w:rPr>
        <w:t>为了更深入理解课程中关于“系统创新”的理论，我查阅了侯其东教授在生物质催化领域的专业论文。在将秸秆、葡萄糖转化为高价值平台化合物（如HMF）的过程中，核心难点在于寻找一种兼具高活性与耐水性的催化剂。面对近乎无限的化学元素组合，传统的实验室研发模式往往需要耗费数年时间进行逐一合成与测试。我从中感受到制约技术突破的往往不是科学原理的匮乏，而是筛选出最有效率的催化剂。</w:t>
      </w:r>
    </w:p>
    <w:p w14:paraId="3E88CE91">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cs="华文宋体" w:asciiTheme="minorEastAsia" w:hAnsiTheme="minorEastAsia" w:eastAsiaTheme="minorEastAsia"/>
          <w:color w:val="1F1F1F"/>
          <w:sz w:val="24"/>
          <w:szCs w:val="24"/>
        </w:rPr>
      </w:pPr>
      <w:r>
        <w:rPr>
          <w:rFonts w:hint="eastAsia" w:cs="华文宋体" w:asciiTheme="minorEastAsia" w:hAnsiTheme="minorEastAsia" w:eastAsiaTheme="minorEastAsia"/>
          <w:color w:val="1F1F1F"/>
          <w:sz w:val="24"/>
          <w:szCs w:val="24"/>
        </w:rPr>
        <w:t>而Google DeepMind最新发布的GNoME系统，预测数百万种新晶体结构，提供了全新的工程视角。</w:t>
      </w:r>
      <w:r>
        <w:rPr>
          <w:rFonts w:cs="华文宋体" w:asciiTheme="minorEastAsia" w:hAnsiTheme="minorEastAsia" w:eastAsiaTheme="minorEastAsia"/>
          <w:color w:val="1F1F1F"/>
          <w:sz w:val="24"/>
          <w:szCs w:val="24"/>
        </w:rPr>
        <w:t>该系统在短时间内预测了220万种新晶体结构，相当于人类过去800年知识积累的45倍。这不仅是一个算法的胜利，更是一种系统工程的创新，为传统基础学科注入新的创新动能。</w:t>
      </w:r>
    </w:p>
    <w:p w14:paraId="34C560AA">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p>
    <w:p w14:paraId="3E7CAA65">
      <w:pPr>
        <w:pStyle w:val="4"/>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二、 传统困境与系统创新的逻辑起点</w:t>
      </w:r>
    </w:p>
    <w:p w14:paraId="0000000A">
      <w:pPr>
        <w:pStyle w:val="5"/>
        <w:keepNext w:val="0"/>
        <w:keepLines w:val="0"/>
        <w:pageBreakBefore w:val="0"/>
        <w:widowControl w:val="0"/>
        <w:kinsoku/>
        <w:wordWrap/>
        <w:overflowPunct/>
        <w:topLinePunct w:val="0"/>
        <w:autoSpaceDE/>
        <w:autoSpaceDN/>
        <w:bidi w:val="0"/>
        <w:adjustRightInd/>
        <w:snapToGrid/>
        <w:spacing w:before="0" w:after="120" w:line="360" w:lineRule="auto"/>
        <w:ind w:firstLine="480" w:firstLineChars="200"/>
        <w:textAlignment w:val="auto"/>
        <w:rPr>
          <w:rFonts w:hint="eastAsia" w:cs="华文宋体" w:asciiTheme="minorEastAsia" w:hAnsiTheme="minorEastAsia" w:eastAsiaTheme="minorEastAsia"/>
          <w:color w:val="1F1F1F"/>
          <w:sz w:val="24"/>
          <w:szCs w:val="24"/>
        </w:rPr>
      </w:pPr>
      <w:r>
        <w:rPr>
          <w:rFonts w:hint="eastAsia" w:cs="华文宋体" w:asciiTheme="minorEastAsia" w:hAnsiTheme="minorEastAsia" w:eastAsiaTheme="minorEastAsia"/>
          <w:b w:val="0"/>
          <w:bCs w:val="0"/>
          <w:color w:val="1F1F1F"/>
          <w:sz w:val="24"/>
          <w:szCs w:val="24"/>
          <w:lang w:val="en-US" w:eastAsia="zh-CN" w:bidi="ar-SA"/>
        </w:rPr>
        <w:t>要深刻理解GNoME的创新价值，不能仅看它发现了多少新材料，而必须先厘清它究竟解决了传统材料发现流程中哪些令人绝望的痛点。</w:t>
      </w:r>
    </w:p>
    <w:p w14:paraId="0000000B">
      <w:pPr>
        <w:pStyle w:val="5"/>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2.1 “爱迪生范式”的局限性</w:t>
      </w:r>
    </w:p>
    <w:p w14:paraId="0000000C">
      <w:pPr>
        <w:keepNext w:val="0"/>
        <w:keepLines w:val="0"/>
        <w:pageBreakBefore w:val="0"/>
        <w:widowControl w:val="0"/>
        <w:kinsoku/>
        <w:wordWrap/>
        <w:overflowPunct/>
        <w:topLinePunct w:val="0"/>
        <w:autoSpaceDE/>
        <w:autoSpaceDN/>
        <w:bidi w:val="0"/>
        <w:adjustRightInd/>
        <w:snapToGrid/>
        <w:spacing w:after="240" w:line="360" w:lineRule="auto"/>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 xml:space="preserve">        传统的材料研发遵循“假设-合成-测试-反馈”的线性流程，这被称为“爱迪生范式”。正如爱迪生为了发明灯泡灯丝尝试了6000多种材料一样，现代化学家在寻找新型固体酸催化剂时，往往需要手动调整金属配比、焙烧温度和载体结构。</w:t>
      </w:r>
    </w:p>
    <w:p w14:paraId="0000000D">
      <w:pPr>
        <w:keepNext w:val="0"/>
        <w:keepLines w:val="0"/>
        <w:pageBreakBefore w:val="0"/>
        <w:widowControl w:val="0"/>
        <w:kinsoku/>
        <w:wordWrap/>
        <w:overflowPunct/>
        <w:topLinePunct w:val="0"/>
        <w:autoSpaceDE/>
        <w:autoSpaceDN/>
        <w:bidi w:val="0"/>
        <w:adjustRightInd/>
        <w:snapToGrid/>
        <w:spacing w:after="120" w:line="360" w:lineRule="auto"/>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 xml:space="preserve">        这种依赖“试错”的模式存在三个核心弊端：</w:t>
      </w:r>
    </w:p>
    <w:p w14:paraId="0000000E">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效率低下：</w:t>
      </w:r>
      <w:r>
        <w:rPr>
          <w:rFonts w:cs="华文宋体" w:asciiTheme="minorEastAsia" w:hAnsiTheme="minorEastAsia" w:eastAsiaTheme="minorEastAsia"/>
          <w:color w:val="1F1F1F"/>
          <w:sz w:val="24"/>
          <w:szCs w:val="24"/>
        </w:rPr>
        <w:t xml:space="preserve"> 大量的实验是无效的，造成了人力和资源的巨大浪费。</w:t>
      </w:r>
    </w:p>
    <w:p w14:paraId="0000000F">
      <w:pPr>
        <w:keepNext w:val="0"/>
        <w:keepLines w:val="0"/>
        <w:pageBreakBefore w:val="0"/>
        <w:widowControl w:val="0"/>
        <w:numPr>
          <w:ilvl w:val="0"/>
          <w:numId w:val="2"/>
        </w:numPr>
        <w:kinsoku/>
        <w:wordWrap/>
        <w:overflowPunct/>
        <w:topLinePunct w:val="0"/>
        <w:autoSpaceDE/>
        <w:autoSpaceDN/>
        <w:bidi w:val="0"/>
        <w:adjustRightInd/>
        <w:snapToGrid/>
        <w:spacing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数据孤岛：</w:t>
      </w:r>
      <w:r>
        <w:rPr>
          <w:rFonts w:cs="华文宋体" w:asciiTheme="minorEastAsia" w:hAnsiTheme="minorEastAsia" w:eastAsiaTheme="minorEastAsia"/>
          <w:color w:val="1F1F1F"/>
          <w:sz w:val="24"/>
          <w:szCs w:val="24"/>
        </w:rPr>
        <w:t xml:space="preserve"> 失败的实验数据往往被丢弃，而这些“负样本”在机器学习眼中同样具有极高的价值。</w:t>
      </w:r>
    </w:p>
    <w:p w14:paraId="00000010">
      <w:pPr>
        <w:keepNext w:val="0"/>
        <w:keepLines w:val="0"/>
        <w:pageBreakBefore w:val="0"/>
        <w:widowControl w:val="0"/>
        <w:numPr>
          <w:ilvl w:val="0"/>
          <w:numId w:val="2"/>
        </w:numPr>
        <w:kinsoku/>
        <w:wordWrap/>
        <w:overflowPunct/>
        <w:topLinePunct w:val="0"/>
        <w:autoSpaceDE/>
        <w:autoSpaceDN/>
        <w:bidi w:val="0"/>
        <w:adjustRightInd/>
        <w:snapToGrid/>
        <w:spacing w:after="120"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认知局限：</w:t>
      </w:r>
      <w:r>
        <w:rPr>
          <w:rFonts w:cs="华文宋体" w:asciiTheme="minorEastAsia" w:hAnsiTheme="minorEastAsia" w:eastAsiaTheme="minorEastAsia"/>
          <w:color w:val="1F1F1F"/>
          <w:sz w:val="24"/>
          <w:szCs w:val="24"/>
        </w:rPr>
        <w:t xml:space="preserve"> 人类的直觉往往受限于已有的知识框架，难以发现反直觉的新型结构。</w:t>
      </w:r>
    </w:p>
    <w:p w14:paraId="00000011">
      <w:pPr>
        <w:pStyle w:val="5"/>
        <w:keepNext w:val="0"/>
        <w:keepLines w:val="0"/>
        <w:pageBreakBefore w:val="0"/>
        <w:widowControl w:val="0"/>
        <w:kinsoku/>
        <w:wordWrap/>
        <w:overflowPunct/>
        <w:topLinePunct w:val="0"/>
        <w:autoSpaceDE/>
        <w:autoSpaceDN/>
        <w:bidi w:val="0"/>
        <w:adjustRightInd/>
        <w:snapToGrid/>
        <w:spacing w:before="24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2.2 数据驱动的“第四范式”</w:t>
      </w:r>
    </w:p>
    <w:p w14:paraId="00000012">
      <w:pPr>
        <w:keepNext w:val="0"/>
        <w:keepLines w:val="0"/>
        <w:pageBreakBefore w:val="0"/>
        <w:widowControl w:val="0"/>
        <w:kinsoku/>
        <w:wordWrap/>
        <w:overflowPunct/>
        <w:topLinePunct w:val="0"/>
        <w:autoSpaceDE/>
        <w:autoSpaceDN/>
        <w:bidi w:val="0"/>
        <w:adjustRightInd/>
        <w:snapToGrid/>
        <w:spacing w:after="240" w:line="360" w:lineRule="auto"/>
        <w:textAlignment w:val="auto"/>
        <w:rPr>
          <w:rFonts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 xml:space="preserve">        计算机科学图灵奖得主Jim Gray曾提出，科学研究正在进入由数据驱动的“第四范式”。在这一范式下，不再仅仅依赖物理实验，而是先在计算机的虚拟世界中通过模拟和预测，大幅缩小筛选范围，再由实验室进行精准验证。GNoME系统的核心逻辑，正是利用深度学习算法构建一个从原子结构到宏观性质的映射模型，将“物理实验”转化为“比特计算”，从而实现研发效率的指数级提升。</w:t>
      </w:r>
    </w:p>
    <w:p w14:paraId="6B4C8C4F">
      <w:pPr>
        <w:keepNext w:val="0"/>
        <w:keepLines w:val="0"/>
        <w:pageBreakBefore w:val="0"/>
        <w:widowControl w:val="0"/>
        <w:kinsoku/>
        <w:wordWrap/>
        <w:overflowPunct/>
        <w:topLinePunct w:val="0"/>
        <w:autoSpaceDE/>
        <w:autoSpaceDN/>
        <w:bidi w:val="0"/>
        <w:adjustRightInd/>
        <w:snapToGrid/>
        <w:spacing w:after="240" w:line="360" w:lineRule="auto"/>
        <w:textAlignment w:val="auto"/>
        <w:rPr>
          <w:rFonts w:hint="eastAsia" w:cs="华文宋体" w:asciiTheme="minorEastAsia" w:hAnsiTheme="minorEastAsia" w:eastAsiaTheme="minorEastAsia"/>
          <w:color w:val="1F1F1F"/>
        </w:rPr>
      </w:pPr>
    </w:p>
    <w:p w14:paraId="00000013">
      <w:pPr>
        <w:pStyle w:val="4"/>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三、 核心案例分析：GNoME系统的架构与算法原理</w:t>
      </w:r>
    </w:p>
    <w:p w14:paraId="30B1BD8F">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cs="华文宋体" w:asciiTheme="minorEastAsia" w:hAnsiTheme="minorEastAsia" w:eastAsiaTheme="minorEastAsia"/>
          <w:color w:val="1F1F1F"/>
          <w:sz w:val="24"/>
          <w:szCs w:val="24"/>
        </w:rPr>
      </w:pPr>
      <w:r>
        <w:rPr>
          <w:rFonts w:hint="eastAsia" w:cs="华文宋体" w:asciiTheme="minorEastAsia" w:hAnsiTheme="minorEastAsia" w:eastAsiaTheme="minorEastAsia"/>
          <w:color w:val="1F1F1F"/>
          <w:sz w:val="24"/>
          <w:szCs w:val="24"/>
        </w:rPr>
        <w:t>GNoME系统之所以能被称为科技创新的典型案例，在我看来，并非仅仅因为它是一个先进的算法，更在于它构建了一套“反直觉”的研发系统。它成功地将物质科学问题“翻译”成了计算机科学问题。</w:t>
      </w:r>
    </w:p>
    <w:p w14:paraId="00000014">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hint="eastAsia" w:cs="华文宋体" w:asciiTheme="minorEastAsia" w:hAnsiTheme="minorEastAsia" w:eastAsiaTheme="minorEastAsia"/>
          <w:color w:val="1F1F1F"/>
          <w:sz w:val="24"/>
          <w:szCs w:val="24"/>
        </w:rPr>
        <w:t>传统的材料计算往往试图模拟复杂的量子物理环境，计算量巨大。而GNoME做了一次巧妙的降维：它利用图神经网络，将微观的晶体结构抽象为拓扑图——原子是节点，化学键是连线。通过这种数据结构的转换，原本复杂的物理相互作用被简化为图论中的消息传递过程。而且它有着“主动学习”闭环的设计：系统不仅能生成新材料，还能根据物理验证的结果自我修正。这种“先计算筛选，后实验验证”的流程，本质上是将昂贵的物理试错成本转化为了廉价的比特计算成本。整个算法</w:t>
      </w:r>
      <w:r>
        <w:rPr>
          <w:rFonts w:cs="华文宋体" w:asciiTheme="minorEastAsia" w:hAnsiTheme="minorEastAsia" w:eastAsiaTheme="minorEastAsia"/>
          <w:color w:val="1F1F1F"/>
          <w:sz w:val="24"/>
          <w:szCs w:val="24"/>
        </w:rPr>
        <w:t>创新点主要体现在数据表征、算法内核与工作流设计三个层面。</w:t>
      </w:r>
    </w:p>
    <w:p w14:paraId="00000015">
      <w:pPr>
        <w:pStyle w:val="5"/>
        <w:keepNext w:val="0"/>
        <w:keepLines w:val="0"/>
        <w:pageBreakBefore w:val="0"/>
        <w:widowControl w:val="0"/>
        <w:numPr>
          <w:ilvl w:val="1"/>
          <w:numId w:val="3"/>
        </w:numPr>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数据结构的映射：从欧几里得空间到图论</w:t>
      </w:r>
    </w:p>
    <w:p w14:paraId="00000018">
      <w:pPr>
        <w:keepNext w:val="0"/>
        <w:keepLines w:val="0"/>
        <w:pageBreakBefore w:val="0"/>
        <w:widowControl w:val="0"/>
        <w:kinsoku/>
        <w:wordWrap/>
        <w:overflowPunct/>
        <w:topLinePunct w:val="0"/>
        <w:autoSpaceDE/>
        <w:autoSpaceDN/>
        <w:bidi w:val="0"/>
        <w:adjustRightInd/>
        <w:snapToGrid/>
        <w:spacing w:after="120" w:line="360" w:lineRule="auto"/>
        <w:ind w:firstLine="480" w:firstLineChars="200"/>
        <w:textAlignment w:val="auto"/>
        <w:rPr>
          <w:rFonts w:asciiTheme="minorEastAsia" w:hAnsiTheme="minorEastAsia" w:eastAsiaTheme="minorEastAsia"/>
          <w:sz w:val="24"/>
          <w:szCs w:val="24"/>
        </w:rPr>
      </w:pPr>
      <w:r>
        <w:rPr>
          <w:rFonts w:cs="华文宋体" w:asciiTheme="minorEastAsia" w:hAnsiTheme="minorEastAsia" w:eastAsiaTheme="minorEastAsia"/>
          <w:color w:val="1F1F1F"/>
          <w:sz w:val="24"/>
          <w:szCs w:val="24"/>
        </w:rPr>
        <w:t>在计算机视觉中，图像是由像素组成的网格，适合用卷积神经网络处理。但化学分子和晶体结构是三维的、非规则的拓扑结构。GNoME的第一个创新在于数据结构的转换：它将微观的原子世界建模为图。</w:t>
      </w:r>
      <w:r>
        <w:rPr>
          <w:rFonts w:hint="eastAsia" w:cs="华文宋体" w:asciiTheme="minorEastAsia" w:hAnsiTheme="minorEastAsia" w:eastAsiaTheme="minorEastAsia"/>
          <w:color w:val="1F1F1F"/>
          <w:sz w:val="24"/>
          <w:szCs w:val="24"/>
        </w:rPr>
        <w:t>图的</w:t>
      </w:r>
      <w:r>
        <w:rPr>
          <w:rFonts w:cs="华文宋体" w:asciiTheme="minorEastAsia" w:hAnsiTheme="minorEastAsia" w:eastAsiaTheme="minorEastAsia"/>
          <w:color w:val="1F1F1F"/>
          <w:sz w:val="24"/>
          <w:szCs w:val="24"/>
        </w:rPr>
        <w:t>节点代表原子，包含原子序数、电负性等特征信息。</w:t>
      </w:r>
      <w:r>
        <w:rPr>
          <w:rFonts w:hint="eastAsia" w:cs="华文宋体" w:asciiTheme="minorEastAsia" w:hAnsiTheme="minorEastAsia" w:eastAsiaTheme="minorEastAsia"/>
          <w:color w:val="1F1F1F"/>
          <w:sz w:val="24"/>
          <w:szCs w:val="24"/>
        </w:rPr>
        <w:t>图的边</w:t>
      </w:r>
      <w:r>
        <w:rPr>
          <w:rFonts w:cs="华文宋体" w:asciiTheme="minorEastAsia" w:hAnsiTheme="minorEastAsia" w:eastAsiaTheme="minorEastAsia"/>
          <w:color w:val="1F1F1F"/>
          <w:sz w:val="24"/>
          <w:szCs w:val="24"/>
        </w:rPr>
        <w:t>代表原子间的化学键或空间距离，承载着相互作用力。</w:t>
      </w:r>
      <w:r>
        <w:rPr>
          <w:rFonts w:hint="eastAsia" w:cs="华文宋体" w:asciiTheme="minorEastAsia" w:hAnsiTheme="minorEastAsia" w:eastAsiaTheme="minorEastAsia"/>
          <w:color w:val="1F1F1F"/>
          <w:sz w:val="24"/>
          <w:szCs w:val="24"/>
        </w:rPr>
        <w:fldChar w:fldCharType="begin"/>
      </w:r>
      <w:r>
        <w:rPr>
          <w:rFonts w:hint="eastAsia" w:cs="华文宋体" w:asciiTheme="minorEastAsia" w:hAnsiTheme="minorEastAsia" w:eastAsiaTheme="minorEastAsia"/>
          <w:color w:val="1F1F1F"/>
          <w:sz w:val="24"/>
          <w:szCs w:val="24"/>
        </w:rPr>
        <w:instrText xml:space="preserve"> ADDIN EN.CITE &lt;EndNote&gt;&lt;Cite&gt;&lt;Author&gt;Merchant&lt;/Author&gt;&lt;Year&gt;2023&lt;/Year&gt;&lt;RecNum&gt;4&lt;/RecNum&gt;&lt;DisplayText&gt;&lt;style face="superscript"&gt;[1]&lt;/style&gt;&lt;/DisplayText&gt;&lt;record&gt;&lt;rec-number&gt;4&lt;/rec-number&gt;&lt;foreign-keys&gt;&lt;key app="EN" db-id="t0w20xwrnefwpve959x509dvf5r0ffsx0f0p" timestamp="1767428266"&gt;4&lt;/key&gt;&lt;/foreign-keys&gt;&lt;ref-type name="Journal Article"&gt;17&lt;/ref-type&gt;&lt;contributors&gt;&lt;authors&gt;&lt;author&gt;Merchant, Amil&lt;/author&gt;&lt;author&gt;Batzner, Simon&lt;/author&gt;&lt;author&gt;Schoenholz, Samuel S.&lt;/author&gt;&lt;author&gt;Aykol, Muratahan&lt;/author&gt;&lt;author&gt;Cheon, Gowoon&lt;/author&gt;&lt;author&gt;Cubuk, Ekin Dogus&lt;/author&gt;&lt;/authors&gt;&lt;/contributors&gt;&lt;titles&gt;&lt;title&gt;Scaling deep learning for materials discovery&lt;/title&gt;&lt;secondary-title&gt;Nature&lt;/secondary-title&gt;&lt;/titles&gt;&lt;periodical&gt;&lt;full-title&gt;Nature&lt;/full-title&gt;&lt;/periodical&gt;&lt;pages&gt;80-85&lt;/pages&gt;&lt;volume&gt;624&lt;/volume&gt;&lt;number&gt;7990&lt;/number&gt;&lt;dates&gt;&lt;year&gt;2023&lt;/year&gt;&lt;pub-dates&gt;&lt;date&gt;2023/12/01&lt;/date&gt;&lt;/pub-dates&gt;&lt;/dates&gt;&lt;isbn&gt;1476-4687&lt;/isbn&gt;&lt;urls&gt;&lt;related-urls&gt;&lt;url&gt;https://doi.org/10.1038/s41586-023-06735-9&lt;/url&gt;&lt;/related-urls&gt;&lt;/urls&gt;&lt;electronic-resource-num&gt;10.1038/s41586-023-06735-9&lt;/electronic-resource-num&gt;&lt;/record&gt;&lt;/Cite&gt;&lt;/EndNote&gt;</w:instrText>
      </w:r>
      <w:r>
        <w:rPr>
          <w:rFonts w:hint="eastAsia" w:cs="华文宋体" w:asciiTheme="minorEastAsia" w:hAnsiTheme="minorEastAsia" w:eastAsiaTheme="minorEastAsia"/>
          <w:color w:val="1F1F1F"/>
          <w:sz w:val="24"/>
          <w:szCs w:val="24"/>
        </w:rPr>
        <w:fldChar w:fldCharType="separate"/>
      </w:r>
      <w:r>
        <w:rPr>
          <w:rFonts w:hint="eastAsia" w:cs="华文宋体" w:asciiTheme="minorEastAsia" w:hAnsiTheme="minorEastAsia" w:eastAsiaTheme="minorEastAsia"/>
          <w:color w:val="1F1F1F"/>
          <w:sz w:val="24"/>
          <w:szCs w:val="24"/>
          <w:vertAlign w:val="superscript"/>
        </w:rPr>
        <w:t>[1]</w:t>
      </w:r>
      <w:r>
        <w:rPr>
          <w:rFonts w:hint="eastAsia" w:cs="华文宋体" w:asciiTheme="minorEastAsia" w:hAnsiTheme="minorEastAsia" w:eastAsiaTheme="minorEastAsia"/>
          <w:color w:val="1F1F1F"/>
          <w:sz w:val="24"/>
          <w:szCs w:val="24"/>
        </w:rPr>
        <w:fldChar w:fldCharType="end"/>
      </w:r>
    </w:p>
    <w:p w14:paraId="00000019">
      <w:pPr>
        <w:keepNext w:val="0"/>
        <w:keepLines w:val="0"/>
        <w:pageBreakBefore w:val="0"/>
        <w:widowControl w:val="0"/>
        <w:kinsoku/>
        <w:wordWrap/>
        <w:overflowPunct/>
        <w:topLinePunct w:val="0"/>
        <w:autoSpaceDE/>
        <w:autoSpaceDN/>
        <w:bidi w:val="0"/>
        <w:adjustRightInd/>
        <w:snapToGrid/>
        <w:spacing w:before="240"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通过这种映射，材料学问题被成功转化为计算机科学中的图论问题，使得利用图算法挖掘深层规律成为可能。</w:t>
      </w:r>
    </w:p>
    <w:p w14:paraId="0000001A">
      <w:pPr>
        <w:pStyle w:val="5"/>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3.2 算法内核：消息传递神经网络</w:t>
      </w:r>
    </w:p>
    <w:p w14:paraId="0000001B">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GNoME的核心引擎是图神经网络。在网络中，每个节点都会向其邻居发送消息，通过多层的迭代，每个原子都能感知到周围环境的化学环境。</w:t>
      </w:r>
    </w:p>
    <w:p w14:paraId="0000001C">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这种算法相比于传统的物理模拟，速度提升了几个数量级。</w:t>
      </w:r>
      <w:r>
        <w:rPr>
          <w:rFonts w:hint="eastAsia" w:cs="华文宋体" w:asciiTheme="minorEastAsia" w:hAnsiTheme="minorEastAsia" w:eastAsiaTheme="minorEastAsia"/>
          <w:color w:val="1F1F1F"/>
          <w:sz w:val="24"/>
          <w:szCs w:val="24"/>
        </w:rPr>
        <w:t>传统物理</w:t>
      </w:r>
      <w:r>
        <w:rPr>
          <w:rFonts w:cs="华文宋体" w:asciiTheme="minorEastAsia" w:hAnsiTheme="minorEastAsia" w:eastAsiaTheme="minorEastAsia"/>
          <w:color w:val="1F1F1F"/>
          <w:sz w:val="24"/>
          <w:szCs w:val="24"/>
        </w:rPr>
        <w:t>计算一个结构可能需要数小时，而GNN模型只需要几毫秒。这种算力换时间的策略，是系统效率提升的关键。</w:t>
      </w:r>
    </w:p>
    <w:p w14:paraId="0000001D">
      <w:pPr>
        <w:pStyle w:val="5"/>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3.3 系统级创新：主动学习闭环</w:t>
      </w:r>
    </w:p>
    <w:p w14:paraId="0000001F">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GNoME</w:t>
      </w:r>
      <w:r>
        <w:rPr>
          <w:rFonts w:hint="eastAsia" w:cs="华文宋体" w:asciiTheme="minorEastAsia" w:hAnsiTheme="minorEastAsia" w:eastAsiaTheme="minorEastAsia"/>
          <w:color w:val="1F1F1F"/>
          <w:sz w:val="24"/>
          <w:szCs w:val="24"/>
        </w:rPr>
        <w:t>有自己的</w:t>
      </w:r>
      <w:r>
        <w:rPr>
          <w:rFonts w:cs="华文宋体" w:asciiTheme="minorEastAsia" w:hAnsiTheme="minorEastAsia" w:eastAsiaTheme="minorEastAsia"/>
          <w:color w:val="1F1F1F"/>
          <w:sz w:val="24"/>
          <w:szCs w:val="24"/>
        </w:rPr>
        <w:t>主动学习工作流。该系统的工作流包含四个步骤：</w:t>
      </w:r>
    </w:p>
    <w:p w14:paraId="00000020">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生成：</w:t>
      </w:r>
      <w:r>
        <w:rPr>
          <w:rFonts w:cs="华文宋体" w:asciiTheme="minorEastAsia" w:hAnsiTheme="minorEastAsia" w:eastAsiaTheme="minorEastAsia"/>
          <w:color w:val="1F1F1F"/>
          <w:sz w:val="24"/>
          <w:szCs w:val="24"/>
        </w:rPr>
        <w:t xml:space="preserve"> 算法根据化学规则，随机生成数以亿计的候选晶体结构。</w:t>
      </w:r>
    </w:p>
    <w:p w14:paraId="00000021">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过滤：</w:t>
      </w:r>
      <w:r>
        <w:rPr>
          <w:rFonts w:cs="华文宋体" w:asciiTheme="minorEastAsia" w:hAnsiTheme="minorEastAsia" w:eastAsiaTheme="minorEastAsia"/>
          <w:color w:val="1F1F1F"/>
          <w:sz w:val="24"/>
          <w:szCs w:val="24"/>
        </w:rPr>
        <w:t xml:space="preserve"> 利用GNN模型快速筛选，剔除不稳定的结构，留下高潜力的候选者。</w:t>
      </w:r>
    </w:p>
    <w:p w14:paraId="00000022">
      <w:pPr>
        <w:keepNext w:val="0"/>
        <w:keepLines w:val="0"/>
        <w:pageBreakBefore w:val="0"/>
        <w:widowControl w:val="0"/>
        <w:numPr>
          <w:ilvl w:val="0"/>
          <w:numId w:val="4"/>
        </w:numPr>
        <w:kinsoku/>
        <w:wordWrap/>
        <w:overflowPunct/>
        <w:topLinePunct w:val="0"/>
        <w:autoSpaceDE/>
        <w:autoSpaceDN/>
        <w:bidi w:val="0"/>
        <w:adjustRightInd/>
        <w:snapToGrid/>
        <w:spacing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验证：</w:t>
      </w:r>
      <w:r>
        <w:rPr>
          <w:rFonts w:cs="华文宋体" w:asciiTheme="minorEastAsia" w:hAnsiTheme="minorEastAsia" w:eastAsiaTheme="minorEastAsia"/>
          <w:color w:val="1F1F1F"/>
          <w:sz w:val="24"/>
          <w:szCs w:val="24"/>
        </w:rPr>
        <w:t xml:space="preserve"> 将筛选出的结构送入高精度的物理模拟中进行</w:t>
      </w:r>
      <w:r>
        <w:rPr>
          <w:rFonts w:hint="eastAsia" w:cs="华文宋体" w:asciiTheme="minorEastAsia" w:hAnsiTheme="minorEastAsia" w:eastAsiaTheme="minorEastAsia"/>
          <w:color w:val="1F1F1F"/>
          <w:sz w:val="24"/>
          <w:szCs w:val="24"/>
        </w:rPr>
        <w:t>验证</w:t>
      </w:r>
      <w:r>
        <w:rPr>
          <w:rFonts w:cs="华文宋体" w:asciiTheme="minorEastAsia" w:hAnsiTheme="minorEastAsia" w:eastAsiaTheme="minorEastAsia"/>
          <w:color w:val="1F1F1F"/>
          <w:sz w:val="24"/>
          <w:szCs w:val="24"/>
        </w:rPr>
        <w:t>。</w:t>
      </w:r>
    </w:p>
    <w:p w14:paraId="00000023">
      <w:pPr>
        <w:keepNext w:val="0"/>
        <w:keepLines w:val="0"/>
        <w:pageBreakBefore w:val="0"/>
        <w:widowControl w:val="0"/>
        <w:numPr>
          <w:ilvl w:val="0"/>
          <w:numId w:val="4"/>
        </w:numPr>
        <w:kinsoku/>
        <w:wordWrap/>
        <w:overflowPunct/>
        <w:topLinePunct w:val="0"/>
        <w:autoSpaceDE/>
        <w:autoSpaceDN/>
        <w:bidi w:val="0"/>
        <w:adjustRightInd/>
        <w:snapToGrid/>
        <w:spacing w:after="120"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进化：</w:t>
      </w:r>
      <w:r>
        <w:rPr>
          <w:rFonts w:cs="华文宋体" w:asciiTheme="minorEastAsia" w:hAnsiTheme="minorEastAsia" w:eastAsiaTheme="minorEastAsia"/>
          <w:color w:val="1F1F1F"/>
          <w:sz w:val="24"/>
          <w:szCs w:val="24"/>
        </w:rPr>
        <w:t>系统将验证的结果</w:t>
      </w:r>
      <w:r>
        <w:rPr>
          <w:rFonts w:hint="eastAsia" w:cs="华文宋体" w:asciiTheme="minorEastAsia" w:hAnsiTheme="minorEastAsia" w:eastAsiaTheme="minorEastAsia"/>
          <w:color w:val="1F1F1F"/>
          <w:sz w:val="24"/>
          <w:szCs w:val="24"/>
        </w:rPr>
        <w:t>，</w:t>
      </w:r>
      <w:r>
        <w:rPr>
          <w:rFonts w:cs="华文宋体" w:asciiTheme="minorEastAsia" w:hAnsiTheme="minorEastAsia" w:eastAsiaTheme="minorEastAsia"/>
          <w:color w:val="1F1F1F"/>
          <w:sz w:val="24"/>
          <w:szCs w:val="24"/>
        </w:rPr>
        <w:t>无论成功还是失败</w:t>
      </w:r>
      <w:r>
        <w:rPr>
          <w:rFonts w:hint="eastAsia" w:cs="华文宋体" w:asciiTheme="minorEastAsia" w:hAnsiTheme="minorEastAsia" w:eastAsiaTheme="minorEastAsia"/>
          <w:color w:val="1F1F1F"/>
          <w:sz w:val="24"/>
          <w:szCs w:val="24"/>
        </w:rPr>
        <w:t>都</w:t>
      </w:r>
      <w:r>
        <w:rPr>
          <w:rFonts w:cs="华文宋体" w:asciiTheme="minorEastAsia" w:hAnsiTheme="minorEastAsia" w:eastAsiaTheme="minorEastAsia"/>
          <w:color w:val="1F1F1F"/>
          <w:sz w:val="24"/>
          <w:szCs w:val="24"/>
        </w:rPr>
        <w:t>反馈给GNN模型，进行重新训练。</w:t>
      </w:r>
    </w:p>
    <w:p w14:paraId="00000024">
      <w:pPr>
        <w:keepNext w:val="0"/>
        <w:keepLines w:val="0"/>
        <w:pageBreakBefore w:val="0"/>
        <w:widowControl w:val="0"/>
        <w:kinsoku/>
        <w:wordWrap/>
        <w:overflowPunct/>
        <w:topLinePunct w:val="0"/>
        <w:autoSpaceDE/>
        <w:autoSpaceDN/>
        <w:bidi w:val="0"/>
        <w:adjustRightInd/>
        <w:snapToGrid/>
        <w:spacing w:before="240" w:after="240" w:line="360" w:lineRule="auto"/>
        <w:ind w:firstLine="480" w:firstLineChars="200"/>
        <w:textAlignment w:val="auto"/>
        <w:rPr>
          <w:rFonts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这形成了一个正反馈循环：模型预测越准，筛选效率越高；筛选出的样本越多，模型学得越好。</w:t>
      </w:r>
    </w:p>
    <w:p w14:paraId="584FA699">
      <w:pPr>
        <w:keepNext w:val="0"/>
        <w:keepLines w:val="0"/>
        <w:pageBreakBefore w:val="0"/>
        <w:widowControl w:val="0"/>
        <w:kinsoku/>
        <w:wordWrap/>
        <w:overflowPunct/>
        <w:topLinePunct w:val="0"/>
        <w:autoSpaceDE/>
        <w:autoSpaceDN/>
        <w:bidi w:val="0"/>
        <w:adjustRightInd/>
        <w:snapToGrid/>
        <w:spacing w:before="240" w:after="240" w:line="360" w:lineRule="auto"/>
        <w:ind w:firstLine="440" w:firstLineChars="200"/>
        <w:textAlignment w:val="auto"/>
        <w:rPr>
          <w:rFonts w:hint="eastAsia" w:cs="华文宋体" w:asciiTheme="minorEastAsia" w:hAnsiTheme="minorEastAsia" w:eastAsiaTheme="minorEastAsia"/>
          <w:color w:val="1F1F1F"/>
        </w:rPr>
      </w:pPr>
    </w:p>
    <w:p w14:paraId="00000025">
      <w:pPr>
        <w:pStyle w:val="4"/>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cs="华文宋体" w:asciiTheme="minorEastAsia" w:hAnsiTheme="minorEastAsia" w:eastAsiaTheme="minorEastAsia"/>
          <w:color w:val="1F1F1F"/>
        </w:rPr>
      </w:pPr>
      <w:r>
        <w:rPr>
          <w:rFonts w:cs="华文宋体" w:asciiTheme="minorEastAsia" w:hAnsiTheme="minorEastAsia" w:eastAsiaTheme="minorEastAsia"/>
          <w:color w:val="1F1F1F"/>
        </w:rPr>
        <w:t>四、 跨学科</w:t>
      </w:r>
      <w:r>
        <w:rPr>
          <w:rFonts w:hint="eastAsia" w:cs="华文宋体" w:asciiTheme="minorEastAsia" w:hAnsiTheme="minorEastAsia" w:eastAsiaTheme="minorEastAsia"/>
          <w:color w:val="1F1F1F"/>
        </w:rPr>
        <w:t>思考</w:t>
      </w:r>
      <w:r>
        <w:rPr>
          <w:rFonts w:cs="华文宋体" w:asciiTheme="minorEastAsia" w:hAnsiTheme="minorEastAsia" w:eastAsiaTheme="minorEastAsia"/>
          <w:color w:val="1F1F1F"/>
        </w:rPr>
        <w:t>：生物质催化</w:t>
      </w:r>
    </w:p>
    <w:p w14:paraId="00000026">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用于无机晶体材料，但其背后的系统创新思维</w:t>
      </w:r>
      <w:r>
        <w:rPr>
          <w:rFonts w:hint="eastAsia" w:cs="华文宋体" w:asciiTheme="minorEastAsia" w:hAnsiTheme="minorEastAsia" w:eastAsiaTheme="minorEastAsia"/>
          <w:color w:val="1F1F1F"/>
          <w:sz w:val="24"/>
          <w:szCs w:val="24"/>
        </w:rPr>
        <w:t>，我认为也可以应用到候老师的生物领域</w:t>
      </w:r>
      <w:r>
        <w:rPr>
          <w:rFonts w:cs="华文宋体" w:asciiTheme="minorEastAsia" w:hAnsiTheme="minorEastAsia" w:eastAsiaTheme="minorEastAsia"/>
          <w:color w:val="1F1F1F"/>
          <w:sz w:val="24"/>
          <w:szCs w:val="24"/>
        </w:rPr>
        <w:t>。</w:t>
      </w:r>
    </w:p>
    <w:p w14:paraId="00000027">
      <w:pPr>
        <w:pStyle w:val="5"/>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4.1 固体酸催化剂的“高通量筛选”</w:t>
      </w:r>
    </w:p>
    <w:p w14:paraId="00000028">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在生物质转化中，将葡萄糖或纤维素转化为平台化合物HMF（5-羟甲基糠醛），需要高效的酸性催化剂。</w:t>
      </w:r>
      <w:r>
        <w:rPr>
          <w:rFonts w:hint="eastAsia" w:cs="华文宋体" w:asciiTheme="minorEastAsia" w:hAnsiTheme="minorEastAsia" w:eastAsiaTheme="minorEastAsia"/>
          <w:color w:val="1F1F1F"/>
          <w:sz w:val="24"/>
          <w:szCs w:val="24"/>
        </w:rPr>
        <w:fldChar w:fldCharType="begin">
          <w:fldData xml:space="preserve">PEVuZE5vdGU+PENpdGU+PEF1dGhvcj5Ib3U8L0F1dGhvcj48WWVhcj4yMDE5PC9ZZWFyPjxSZWNO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</w:fldData>
        </w:fldChar>
      </w:r>
      <w:r>
        <w:rPr>
          <w:rFonts w:hint="eastAsia" w:cs="华文宋体" w:asciiTheme="minorEastAsia" w:hAnsiTheme="minorEastAsia" w:eastAsiaTheme="minorEastAsia"/>
          <w:color w:val="1F1F1F"/>
          <w:sz w:val="24"/>
          <w:szCs w:val="24"/>
        </w:rPr>
        <w:instrText xml:space="preserve"> ADDIN EN.CITE </w:instrText>
      </w:r>
      <w:r>
        <w:rPr>
          <w:rFonts w:hint="eastAsia" w:cs="华文宋体" w:asciiTheme="minorEastAsia" w:hAnsiTheme="minorEastAsia" w:eastAsiaTheme="minorEastAsia"/>
          <w:color w:val="1F1F1F"/>
          <w:sz w:val="24"/>
          <w:szCs w:val="24"/>
        </w:rPr>
        <w:fldChar w:fldCharType="begin">
          <w:fldData xml:space="preserve">PEVuZE5vdGU+PENpdGU+PEF1dGhvcj5Ib3U8L0F1dGhvcj48WWVhcj4yMDE5PC9ZZWFyPjxSZWNO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</w:fldData>
        </w:fldChar>
      </w:r>
      <w:r>
        <w:rPr>
          <w:rFonts w:hint="eastAsia" w:cs="华文宋体" w:asciiTheme="minorEastAsia" w:hAnsiTheme="minorEastAsia" w:eastAsiaTheme="minorEastAsia"/>
          <w:color w:val="1F1F1F"/>
          <w:sz w:val="24"/>
          <w:szCs w:val="24"/>
        </w:rPr>
        <w:instrText xml:space="preserve"> ADDIN EN.CITE.DATA </w:instrText>
      </w:r>
      <w:r>
        <w:rPr>
          <w:rFonts w:hint="eastAsia" w:cs="华文宋体" w:asciiTheme="minorEastAsia" w:hAnsiTheme="minorEastAsia" w:eastAsiaTheme="minorEastAsia"/>
          <w:color w:val="1F1F1F"/>
          <w:sz w:val="24"/>
          <w:szCs w:val="24"/>
        </w:rPr>
        <w:fldChar w:fldCharType="end"/>
      </w:r>
      <w:r>
        <w:rPr>
          <w:rFonts w:hint="eastAsia" w:cs="华文宋体" w:asciiTheme="minorEastAsia" w:hAnsiTheme="minorEastAsia" w:eastAsiaTheme="minorEastAsia"/>
          <w:color w:val="1F1F1F"/>
          <w:sz w:val="24"/>
          <w:szCs w:val="24"/>
        </w:rPr>
        <w:fldChar w:fldCharType="separate"/>
      </w:r>
      <w:r>
        <w:rPr>
          <w:rFonts w:hint="eastAsia" w:cs="华文宋体" w:asciiTheme="minorEastAsia" w:hAnsiTheme="minorEastAsia" w:eastAsiaTheme="minorEastAsia"/>
          <w:color w:val="1F1F1F"/>
          <w:sz w:val="24"/>
          <w:szCs w:val="24"/>
          <w:vertAlign w:val="superscript"/>
        </w:rPr>
        <w:t>[2, 3]</w:t>
      </w:r>
      <w:r>
        <w:rPr>
          <w:rFonts w:hint="eastAsia" w:cs="华文宋体" w:asciiTheme="minorEastAsia" w:hAnsiTheme="minorEastAsia" w:eastAsiaTheme="minorEastAsia"/>
          <w:color w:val="1F1F1F"/>
          <w:sz w:val="24"/>
          <w:szCs w:val="24"/>
        </w:rPr>
        <w:fldChar w:fldCharType="end"/>
      </w:r>
      <w:r>
        <w:rPr>
          <w:rFonts w:cs="华文宋体" w:asciiTheme="minorEastAsia" w:hAnsiTheme="minorEastAsia" w:eastAsiaTheme="minorEastAsia"/>
          <w:color w:val="1F1F1F"/>
          <w:sz w:val="24"/>
          <w:szCs w:val="24"/>
        </w:rPr>
        <w:t>。</w:t>
      </w:r>
    </w:p>
    <w:p w14:paraId="00000029">
      <w:pPr>
        <w:keepNext w:val="0"/>
        <w:keepLines w:val="0"/>
        <w:pageBreakBefore w:val="0"/>
        <w:widowControl w:val="0"/>
        <w:kinsoku/>
        <w:wordWrap/>
        <w:overflowPunct/>
        <w:topLinePunct w:val="0"/>
        <w:autoSpaceDE/>
        <w:autoSpaceDN/>
        <w:bidi w:val="0"/>
        <w:adjustRightInd/>
        <w:snapToGrid/>
        <w:spacing w:after="12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传统的研发往往依赖逐一改变磷/锡配比或焙烧条件。利用GNoME的思路，我们可以构建一个针对金属磷酸盐的子图神经网络模型：</w:t>
      </w:r>
    </w:p>
    <w:p w14:paraId="0000002A">
      <w:pPr>
        <w:keepNext w:val="0"/>
        <w:keepLines w:val="0"/>
        <w:pageBreakBefore w:val="0"/>
        <w:widowControl w:val="0"/>
        <w:numPr>
          <w:ilvl w:val="0"/>
          <w:numId w:val="5"/>
        </w:numPr>
        <w:kinsoku/>
        <w:wordWrap/>
        <w:overflowPunct/>
        <w:topLinePunct w:val="0"/>
        <w:autoSpaceDE/>
        <w:autoSpaceDN/>
        <w:bidi w:val="0"/>
        <w:adjustRightInd/>
        <w:snapToGrid/>
        <w:spacing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输入：</w:t>
      </w:r>
      <w:r>
        <w:rPr>
          <w:rFonts w:cs="华文宋体" w:asciiTheme="minorEastAsia" w:hAnsiTheme="minorEastAsia" w:eastAsiaTheme="minorEastAsia"/>
          <w:color w:val="1F1F1F"/>
          <w:sz w:val="24"/>
          <w:szCs w:val="24"/>
        </w:rPr>
        <w:t xml:space="preserve"> 不同配比和晶格结构的磷酸盐图结构。</w:t>
      </w:r>
    </w:p>
    <w:p w14:paraId="0000002B">
      <w:pPr>
        <w:keepNext w:val="0"/>
        <w:keepLines w:val="0"/>
        <w:pageBreakBefore w:val="0"/>
        <w:widowControl w:val="0"/>
        <w:numPr>
          <w:ilvl w:val="0"/>
          <w:numId w:val="5"/>
        </w:numPr>
        <w:kinsoku/>
        <w:wordWrap/>
        <w:overflowPunct/>
        <w:topLinePunct w:val="0"/>
        <w:autoSpaceDE/>
        <w:autoSpaceDN/>
        <w:bidi w:val="0"/>
        <w:adjustRightInd/>
        <w:snapToGrid/>
        <w:spacing w:after="120" w:line="360" w:lineRule="auto"/>
        <w:textAlignment w:val="auto"/>
        <w:rPr>
          <w:rFonts w:asciiTheme="minorEastAsia" w:hAnsiTheme="minorEastAsia" w:eastAsiaTheme="minorEastAsia"/>
          <w:sz w:val="24"/>
          <w:szCs w:val="24"/>
        </w:rPr>
      </w:pPr>
      <w:r>
        <w:rPr>
          <w:rFonts w:cs="华文宋体" w:asciiTheme="minorEastAsia" w:hAnsiTheme="minorEastAsia" w:eastAsiaTheme="minorEastAsia"/>
          <w:b/>
          <w:bCs/>
          <w:color w:val="1F1F1F"/>
          <w:sz w:val="24"/>
          <w:szCs w:val="24"/>
        </w:rPr>
        <w:t>输出：</w:t>
      </w:r>
      <w:r>
        <w:rPr>
          <w:rFonts w:cs="华文宋体" w:asciiTheme="minorEastAsia" w:hAnsiTheme="minorEastAsia" w:eastAsiaTheme="minorEastAsia"/>
          <w:color w:val="1F1F1F"/>
          <w:sz w:val="24"/>
          <w:szCs w:val="24"/>
        </w:rPr>
        <w:t xml:space="preserve"> 预测其对葡萄糖分子的吸附能和反应活化能。</w:t>
      </w:r>
    </w:p>
    <w:p w14:paraId="0000002E">
      <w:pPr>
        <w:keepNext w:val="0"/>
        <w:keepLines w:val="0"/>
        <w:pageBreakBefore w:val="0"/>
        <w:widowControl w:val="0"/>
        <w:kinsoku/>
        <w:wordWrap/>
        <w:overflowPunct/>
        <w:topLinePunct w:val="0"/>
        <w:autoSpaceDE/>
        <w:autoSpaceDN/>
        <w:bidi w:val="0"/>
        <w:adjustRightInd/>
        <w:snapToGrid/>
        <w:spacing w:before="240" w:after="240" w:line="360" w:lineRule="auto"/>
        <w:ind w:firstLine="480" w:firstLineChars="200"/>
        <w:textAlignment w:val="auto"/>
        <w:rPr>
          <w:rFonts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通过计算机的预筛选，我们可以从成千上万种理论配方中锁定前10种最优解，再交由实验室合成。这将极大地加速新型高效催化剂的问世，解决生物质转化中“转化率低、副产物多”的工程难题。</w:t>
      </w:r>
    </w:p>
    <w:p w14:paraId="443F2799">
      <w:pPr>
        <w:keepNext w:val="0"/>
        <w:keepLines w:val="0"/>
        <w:pageBreakBefore w:val="0"/>
        <w:widowControl w:val="0"/>
        <w:kinsoku/>
        <w:wordWrap/>
        <w:overflowPunct/>
        <w:topLinePunct w:val="0"/>
        <w:autoSpaceDE/>
        <w:autoSpaceDN/>
        <w:bidi w:val="0"/>
        <w:adjustRightInd/>
        <w:snapToGrid/>
        <w:spacing w:before="240" w:after="240" w:line="360" w:lineRule="auto"/>
        <w:ind w:firstLine="440" w:firstLineChars="200"/>
        <w:textAlignment w:val="auto"/>
        <w:rPr>
          <w:rFonts w:hint="eastAsia" w:cs="华文宋体" w:asciiTheme="minorEastAsia" w:hAnsiTheme="minorEastAsia" w:eastAsiaTheme="minorEastAsia"/>
          <w:color w:val="1F1F1F"/>
        </w:rPr>
      </w:pPr>
    </w:p>
    <w:p w14:paraId="0000002F">
      <w:pPr>
        <w:pStyle w:val="4"/>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五、 结论：系统集成的力量</w:t>
      </w:r>
    </w:p>
    <w:p w14:paraId="00000030">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综上所述，Google DeepMind的GNoME系统是材料科学的一次突破，</w:t>
      </w:r>
      <w:r>
        <w:rPr>
          <w:rFonts w:hint="eastAsia" w:cs="华文宋体" w:asciiTheme="minorEastAsia" w:hAnsiTheme="minorEastAsia" w:eastAsiaTheme="minorEastAsia"/>
          <w:color w:val="1F1F1F"/>
          <w:sz w:val="24"/>
          <w:szCs w:val="24"/>
        </w:rPr>
        <w:t>也是</w:t>
      </w:r>
      <w:r>
        <w:rPr>
          <w:rFonts w:cs="华文宋体" w:asciiTheme="minorEastAsia" w:hAnsiTheme="minorEastAsia" w:eastAsiaTheme="minorEastAsia"/>
          <w:color w:val="1F1F1F"/>
          <w:sz w:val="24"/>
          <w:szCs w:val="24"/>
        </w:rPr>
        <w:t>一个经典的</w:t>
      </w:r>
      <w:r>
        <w:rPr>
          <w:rFonts w:hint="eastAsia" w:cs="华文宋体" w:asciiTheme="minorEastAsia" w:hAnsiTheme="minorEastAsia" w:eastAsiaTheme="minorEastAsia"/>
          <w:color w:val="1F1F1F"/>
          <w:sz w:val="24"/>
          <w:szCs w:val="24"/>
        </w:rPr>
        <w:t>科技</w:t>
      </w:r>
      <w:r>
        <w:rPr>
          <w:rFonts w:cs="华文宋体" w:asciiTheme="minorEastAsia" w:hAnsiTheme="minorEastAsia" w:eastAsiaTheme="minorEastAsia"/>
          <w:color w:val="1F1F1F"/>
          <w:sz w:val="24"/>
          <w:szCs w:val="24"/>
        </w:rPr>
        <w:t>创新案例。</w:t>
      </w:r>
      <w:r>
        <w:rPr>
          <w:rFonts w:hint="eastAsia" w:cs="华文宋体" w:asciiTheme="minorEastAsia" w:hAnsiTheme="minorEastAsia" w:eastAsiaTheme="minorEastAsia"/>
          <w:color w:val="1F1F1F"/>
          <w:sz w:val="24"/>
          <w:szCs w:val="24"/>
        </w:rPr>
        <w:t>它</w:t>
      </w:r>
      <w:r>
        <w:rPr>
          <w:rFonts w:cs="华文宋体" w:asciiTheme="minorEastAsia" w:hAnsiTheme="minorEastAsia" w:eastAsiaTheme="minorEastAsia"/>
          <w:color w:val="1F1F1F"/>
          <w:sz w:val="24"/>
          <w:szCs w:val="24"/>
        </w:rPr>
        <w:t>通过将复杂的物理化学问题抽象为计算机图论问题，利用深度学习算法处理高维数据，并通过主动学习构建了自我进化的闭环系统。</w:t>
      </w:r>
    </w:p>
    <w:p w14:paraId="00000032">
      <w:pPr>
        <w:keepNext w:val="0"/>
        <w:keepLines w:val="0"/>
        <w:pageBreakBefore w:val="0"/>
        <w:widowControl w:val="0"/>
        <w:kinsoku/>
        <w:wordWrap/>
        <w:overflowPunct/>
        <w:topLinePunct w:val="0"/>
        <w:autoSpaceDE/>
        <w:autoSpaceDN/>
        <w:bidi w:val="0"/>
        <w:adjustRightInd/>
        <w:snapToGrid/>
        <w:spacing w:after="240" w:line="360" w:lineRule="auto"/>
        <w:ind w:firstLine="480" w:firstLineChars="200"/>
        <w:textAlignment w:val="auto"/>
        <w:rPr>
          <w:rFonts w:hint="eastAsia" w:cs="华文宋体" w:asciiTheme="minorEastAsia" w:hAnsiTheme="minorEastAsia" w:eastAsiaTheme="minorEastAsia"/>
          <w:color w:val="1F1F1F"/>
          <w:sz w:val="24"/>
          <w:szCs w:val="24"/>
        </w:rPr>
      </w:pPr>
      <w:r>
        <w:rPr>
          <w:rFonts w:cs="华文宋体" w:asciiTheme="minorEastAsia" w:hAnsiTheme="minorEastAsia" w:eastAsiaTheme="minorEastAsia"/>
          <w:color w:val="1F1F1F"/>
          <w:sz w:val="24"/>
          <w:szCs w:val="24"/>
        </w:rPr>
        <w:t>这一案例让我意识到，学科的边缘往往才是创新的中心。 在生物质资源化这样复杂的领域，面对海量的筛选工作，光靠手中的试管和经验性的试错，已经很难跟上时代的需求。我们需要跳出单一学科的局限，用数字化思维去重塑传统的实验流程。从古人的经验积累，到现代实验室的精确测量，再到AI时代的计算预测，科学研究的方法正在发生质的飞跃。正如课上所说，创新就是要打破壁垒。我相信，未来这种“计算+实验”的模式，将成为我们解决环境与能源问题最有力的工具。</w:t>
      </w:r>
    </w:p>
    <w:p w14:paraId="7AFF0DEC">
      <w:pPr>
        <w:pStyle w:val="4"/>
        <w:keepNext w:val="0"/>
        <w:keepLines w:val="0"/>
        <w:pageBreakBefore w:val="0"/>
        <w:widowControl w:val="0"/>
        <w:kinsoku/>
        <w:wordWrap/>
        <w:overflowPunct/>
        <w:topLinePunct w:val="0"/>
        <w:autoSpaceDE/>
        <w:autoSpaceDN/>
        <w:bidi w:val="0"/>
        <w:adjustRightInd/>
        <w:snapToGrid/>
        <w:spacing w:before="0" w:after="120" w:line="360" w:lineRule="auto"/>
        <w:textAlignment w:val="auto"/>
        <w:rPr>
          <w:rFonts w:hint="eastAsia" w:cs="华文宋体" w:asciiTheme="minorEastAsia" w:hAnsiTheme="minorEastAsia" w:eastAsiaTheme="minorEastAsia"/>
          <w:color w:val="1F1F1F"/>
        </w:rPr>
      </w:pPr>
      <w:r>
        <w:rPr>
          <w:rFonts w:cs="华文宋体" w:asciiTheme="minorEastAsia" w:hAnsiTheme="minorEastAsia" w:eastAsiaTheme="minorEastAsia"/>
          <w:color w:val="1F1F1F"/>
        </w:rPr>
        <w:t>参考文献</w:t>
      </w:r>
    </w:p>
    <w:p w14:paraId="583AFD1F">
      <w:pPr>
        <w:pStyle w:val="18"/>
        <w:keepNext w:val="0"/>
        <w:keepLines w:val="0"/>
        <w:pageBreakBefore w:val="0"/>
        <w:widowControl w:val="0"/>
        <w:kinsoku/>
        <w:wordWrap/>
        <w:overflowPunct/>
        <w:topLinePunct w:val="0"/>
        <w:autoSpaceDE/>
        <w:autoSpaceDN/>
        <w:bidi w:val="0"/>
        <w:adjustRightInd/>
        <w:snapToGrid/>
        <w:spacing w:line="360" w:lineRule="auto"/>
        <w:ind w:left="720" w:hanging="720"/>
        <w:textAlignment w:val="auto"/>
        <w:rPr>
          <w:rFonts w:hint="eastAsia" w:asciiTheme="minorEastAsia" w:hAnsiTheme="minorEastAsia" w:eastAsiaTheme="minorEastAsia"/>
        </w:rPr>
      </w:pPr>
      <w:r>
        <w:rPr>
          <w:rFonts w:hint="eastAsia" w:cs="华文宋体" w:asciiTheme="minorEastAsia" w:hAnsiTheme="minorEastAsia" w:eastAsiaTheme="minorEastAsia"/>
        </w:rPr>
        <w:fldChar w:fldCharType="begin"/>
      </w:r>
      <w:r>
        <w:rPr>
          <w:rFonts w:hint="eastAsia" w:cs="华文宋体" w:asciiTheme="minorEastAsia" w:hAnsiTheme="minorEastAsia" w:eastAsiaTheme="minorEastAsia"/>
        </w:rPr>
        <w:instrText xml:space="preserve"> ADDIN EN.REFLIST </w:instrText>
      </w:r>
      <w:r>
        <w:rPr>
          <w:rFonts w:hint="eastAsia" w:cs="华文宋体" w:asciiTheme="minorEastAsia" w:hAnsiTheme="minorEastAsia" w:eastAsiaTheme="minorEastAsia"/>
        </w:rPr>
        <w:fldChar w:fldCharType="separate"/>
      </w:r>
      <w:r>
        <w:rPr>
          <w:rFonts w:hint="eastAsia" w:asciiTheme="minorEastAsia" w:hAnsiTheme="minorEastAsia" w:eastAsiaTheme="minorEastAsia"/>
        </w:rPr>
        <w:t>[1]</w:t>
      </w:r>
      <w:r>
        <w:rPr>
          <w:rFonts w:hint="eastAsia" w:asciiTheme="minorEastAsia" w:hAnsiTheme="minorEastAsia" w:eastAsiaTheme="minorEastAsia"/>
        </w:rPr>
        <w:tab/>
      </w:r>
      <w:r>
        <w:rPr>
          <w:rFonts w:hint="eastAsia" w:asciiTheme="minorEastAsia" w:hAnsiTheme="minorEastAsia" w:eastAsiaTheme="minorEastAsia"/>
        </w:rPr>
        <w:t>MERCHANT A, BATZNER S, SCHOENHOLZ S S, et al. Scaling deep learning for materials discovery [J]. Nature, 2023, 624(7990): 80–5.</w:t>
      </w:r>
    </w:p>
    <w:p w14:paraId="23020102">
      <w:pPr>
        <w:pStyle w:val="18"/>
        <w:keepNext w:val="0"/>
        <w:keepLines w:val="0"/>
        <w:pageBreakBefore w:val="0"/>
        <w:widowControl w:val="0"/>
        <w:kinsoku/>
        <w:wordWrap/>
        <w:overflowPunct/>
        <w:topLinePunct w:val="0"/>
        <w:autoSpaceDE/>
        <w:autoSpaceDN/>
        <w:bidi w:val="0"/>
        <w:adjustRightInd/>
        <w:snapToGrid/>
        <w:spacing w:line="360" w:lineRule="auto"/>
        <w:ind w:left="720" w:hanging="720"/>
        <w:textAlignment w:val="auto"/>
        <w:rPr>
          <w:rFonts w:hint="eastAsia" w:asciiTheme="minorEastAsia" w:hAnsiTheme="minorEastAsia" w:eastAsiaTheme="minorEastAsia"/>
        </w:rPr>
      </w:pPr>
      <w:r>
        <w:rPr>
          <w:rFonts w:hint="eastAsia" w:asciiTheme="minorEastAsia" w:hAnsiTheme="minorEastAsia" w:eastAsiaTheme="minorEastAsia"/>
        </w:rPr>
        <w:t>[2]</w:t>
      </w:r>
      <w:r>
        <w:rPr>
          <w:rFonts w:hint="eastAsia" w:asciiTheme="minorEastAsia" w:hAnsiTheme="minorEastAsia" w:eastAsiaTheme="minorEastAsia"/>
        </w:rPr>
        <w:tab/>
      </w:r>
      <w:r>
        <w:rPr>
          <w:rFonts w:hint="eastAsia" w:asciiTheme="minorEastAsia" w:hAnsiTheme="minorEastAsia" w:eastAsiaTheme="minorEastAsia"/>
        </w:rPr>
        <w:t>HOU Q, ZHEN M, LI W, et al. Efficient catalytic conversion of glucose into 5-hydroxymethylfurfural by aluminum oxide in ionic liquid [J]. Applied Catalysis B: Environmental, 2019, 253: 1–10.</w:t>
      </w:r>
    </w:p>
    <w:p w14:paraId="49AC462F">
      <w:pPr>
        <w:pStyle w:val="18"/>
        <w:keepNext w:val="0"/>
        <w:keepLines w:val="0"/>
        <w:pageBreakBefore w:val="0"/>
        <w:widowControl w:val="0"/>
        <w:kinsoku/>
        <w:wordWrap/>
        <w:overflowPunct/>
        <w:topLinePunct w:val="0"/>
        <w:autoSpaceDE/>
        <w:autoSpaceDN/>
        <w:bidi w:val="0"/>
        <w:adjustRightInd/>
        <w:snapToGrid/>
        <w:spacing w:line="360" w:lineRule="auto"/>
        <w:ind w:left="720" w:hanging="720"/>
        <w:textAlignment w:val="auto"/>
        <w:rPr>
          <w:rFonts w:hint="eastAsia" w:asciiTheme="minorEastAsia" w:hAnsiTheme="minorEastAsia" w:eastAsiaTheme="minorEastAsia"/>
        </w:rPr>
      </w:pPr>
      <w:r>
        <w:rPr>
          <w:rFonts w:hint="eastAsia" w:asciiTheme="minorEastAsia" w:hAnsiTheme="minorEastAsia" w:eastAsiaTheme="minorEastAsia"/>
        </w:rPr>
        <w:t>[3]</w:t>
      </w:r>
      <w:r>
        <w:rPr>
          <w:rFonts w:hint="eastAsia" w:asciiTheme="minorEastAsia" w:hAnsiTheme="minorEastAsia" w:eastAsiaTheme="minorEastAsia"/>
        </w:rPr>
        <w:tab/>
      </w:r>
      <w:r>
        <w:rPr>
          <w:rFonts w:hint="eastAsia" w:asciiTheme="minorEastAsia" w:hAnsiTheme="minorEastAsia" w:eastAsiaTheme="minorEastAsia"/>
        </w:rPr>
        <w:t>HOU Q, ZHEN M, LIU L, et al. Tin phosphate as a heterogeneous catalyst for efficient dehydration of glucose into 5-hydroxymethylfurfural in ionic liquid [J]. Applied Catalysis B: Environmental, 2018, 224: 183–93.</w:t>
      </w:r>
    </w:p>
    <w:p w14:paraId="37B7C84B">
      <w:pPr>
        <w:keepNext w:val="0"/>
        <w:keepLines w:val="0"/>
        <w:pageBreakBefore w:val="0"/>
        <w:widowControl w:val="0"/>
        <w:kinsoku/>
        <w:wordWrap/>
        <w:overflowPunct/>
        <w:topLinePunct w:val="0"/>
        <w:autoSpaceDE/>
        <w:autoSpaceDN/>
        <w:bidi w:val="0"/>
        <w:adjustRightInd/>
        <w:snapToGrid/>
        <w:spacing w:line="360" w:lineRule="auto"/>
        <w:textAlignment w:val="auto"/>
        <w:rPr>
          <w:rFonts w:cs="华文宋体" w:asciiTheme="minorEastAsia" w:hAnsiTheme="minorEastAsia" w:eastAsiaTheme="minorEastAsia"/>
        </w:rPr>
      </w:pPr>
      <w:r>
        <w:rPr>
          <w:rFonts w:hint="eastAsia" w:cs="华文宋体" w:asciiTheme="minorEastAsia" w:hAnsiTheme="minorEastAsia" w:eastAsiaTheme="minorEastAsia"/>
        </w:rPr>
        <w:fldChar w:fldCharType="end"/>
      </w:r>
    </w:p>
    <w:sectPr>
      <w:pgSz w:w="12240" w:h="15840"/>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embedRegular r:id="rId1" w:fontKey="{8CA9F4C6-E7AE-47E0-9FC6-F8A8D668037C}"/>
  </w:font>
  <w:font w:name="Arial">
    <w:panose1 w:val="020B0604020202020204"/>
    <w:charset w:val="01"/>
    <w:family w:val="swiss"/>
    <w:pitch w:val="default"/>
    <w:sig w:usb0="E0002EFF" w:usb1="C000785B" w:usb2="00000009" w:usb3="00000000" w:csb0="400001FF" w:csb1="FFFF0000"/>
    <w:embedRegular r:id="rId2" w:fontKey="{1A6B3154-72E2-4961-BDEA-99547D46E4C6}"/>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embedRegular r:id="rId3" w:fontKey="{A2565BB8-2D08-4DE2-94A1-BFA5D5A578EE}"/>
  </w:font>
  <w:font w:name="Symbol">
    <w:panose1 w:val="05050102010706020507"/>
    <w:charset w:val="02"/>
    <w:family w:val="roman"/>
    <w:pitch w:val="default"/>
    <w:sig w:usb0="00000000" w:usb1="00000000" w:usb2="00000000" w:usb3="00000000" w:csb0="80000000" w:csb1="00000000"/>
    <w:embedRegular r:id="rId4" w:fontKey="{674C8221-92D6-410D-B2C4-F427A8ADE973}"/>
  </w:font>
  <w:font w:name="Calibri">
    <w:panose1 w:val="020F0502020204030204"/>
    <w:charset w:val="00"/>
    <w:family w:val="swiss"/>
    <w:pitch w:val="default"/>
    <w:sig w:usb0="E4002EFF" w:usb1="C200247B" w:usb2="00000009" w:usb3="00000000" w:csb0="200001FF" w:csb1="00000000"/>
    <w:embedRegular r:id="rId5" w:fontKey="{1D04FA69-ADE2-4BCA-B38A-99CF8ECC2D50}"/>
  </w:font>
  <w:font w:name="Arial">
    <w:panose1 w:val="020B0604020202020204"/>
    <w:charset w:val="00"/>
    <w:family w:val="swiss"/>
    <w:pitch w:val="default"/>
    <w:sig w:usb0="E0002EFF" w:usb1="C000785B" w:usb2="00000009" w:usb3="00000000" w:csb0="400001FF" w:csb1="FFFF0000"/>
    <w:embedRegular r:id="rId6" w:fontKey="{FA34FF5F-CCE6-4CA8-AF60-4F1E51B5BB88}"/>
  </w:font>
  <w:font w:name="Georgia">
    <w:panose1 w:val="02040502050405020303"/>
    <w:charset w:val="00"/>
    <w:family w:val="roman"/>
    <w:pitch w:val="default"/>
    <w:sig w:usb0="00000287" w:usb1="00000000" w:usb2="00000000" w:usb3="00000000" w:csb0="2000009F" w:csb1="00000000"/>
    <w:embedRegular r:id="rId7" w:fontKey="{3A54B5C4-4BBD-4E18-84BF-F1EAA7FB9197}"/>
  </w:font>
  <w:font w:name="华文宋体">
    <w:panose1 w:val="02010600040101010101"/>
    <w:charset w:val="86"/>
    <w:family w:val="auto"/>
    <w:pitch w:val="default"/>
    <w:sig w:usb0="00000287" w:usb1="080F0000" w:usb2="00000000" w:usb3="00000000" w:csb0="0004009F" w:csb1="DFD70000"/>
    <w:embedRegular r:id="rId8" w:fontKey="{CF36E1D8-D144-4F87-BDEC-07756E36BF7F}"/>
  </w:font>
  <w:font w:name="Cambria Math">
    <w:panose1 w:val="02040503050406030204"/>
    <w:charset w:val="00"/>
    <w:family w:val="roman"/>
    <w:pitch w:val="default"/>
    <w:sig w:usb0="E00006FF" w:usb1="420024FF" w:usb2="02000000" w:usb3="00000000" w:csb0="2000019F" w:csb1="00000000"/>
    <w:embedRegular r:id="rId9" w:fontKey="{92A843FC-67F0-43ED-A863-1D7AF0F8FF2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205925"/>
    <w:multiLevelType w:val="multilevel"/>
    <w:tmpl w:val="BF205925"/>
    <w:lvl w:ilvl="0" w:tentative="0">
      <w:start w:val="1"/>
      <w:numFmt w:val="bullet"/>
      <w:lvlText w:val="●"/>
      <w:lvlJc w:val="left"/>
      <w:pPr>
        <w:ind w:left="465"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1">
    <w:nsid w:val="0053208E"/>
    <w:multiLevelType w:val="multilevel"/>
    <w:tmpl w:val="0053208E"/>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2">
    <w:nsid w:val="523B602A"/>
    <w:multiLevelType w:val="multilevel"/>
    <w:tmpl w:val="523B602A"/>
    <w:lvl w:ilvl="0" w:tentative="0">
      <w:start w:val="1"/>
      <w:numFmt w:val="japaneseCounting"/>
      <w:lvlText w:val="%1、"/>
      <w:lvlJc w:val="left"/>
      <w:pPr>
        <w:ind w:left="630" w:hanging="63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59ADCABA"/>
    <w:multiLevelType w:val="multilevel"/>
    <w:tmpl w:val="59ADCABA"/>
    <w:lvl w:ilvl="0" w:tentative="0">
      <w:start w:val="1"/>
      <w:numFmt w:val="decimal"/>
      <w:lvlText w:val="%1."/>
      <w:lvlJc w:val="left"/>
      <w:pPr>
        <w:ind w:left="4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1" w:tentative="0">
      <w:start w:val="1"/>
      <w:numFmt w:val="bullet"/>
      <w:lvlText w:val="○"/>
      <w:lvlJc w:val="left"/>
      <w:pPr>
        <w:ind w:left="14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2" w:tentative="0">
      <w:start w:val="1"/>
      <w:numFmt w:val="bullet"/>
      <w:lvlText w:val="■"/>
      <w:lvlJc w:val="left"/>
      <w:pPr>
        <w:ind w:left="21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3" w:tentative="0">
      <w:start w:val="1"/>
      <w:numFmt w:val="bullet"/>
      <w:lvlText w:val="■"/>
      <w:lvlJc w:val="left"/>
      <w:pPr>
        <w:ind w:left="288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4" w:tentative="0">
      <w:start w:val="1"/>
      <w:numFmt w:val="bullet"/>
      <w:lvlText w:val="■"/>
      <w:lvlJc w:val="left"/>
      <w:pPr>
        <w:ind w:left="360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5" w:tentative="0">
      <w:start w:val="1"/>
      <w:numFmt w:val="bullet"/>
      <w:lvlText w:val="■"/>
      <w:lvlJc w:val="left"/>
      <w:pPr>
        <w:ind w:left="432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6" w:tentative="0">
      <w:start w:val="1"/>
      <w:numFmt w:val="bullet"/>
      <w:lvlText w:val="■"/>
      <w:lvlJc w:val="left"/>
      <w:pPr>
        <w:ind w:left="504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7" w:tentative="0">
      <w:start w:val="1"/>
      <w:numFmt w:val="bullet"/>
      <w:lvlText w:val="■"/>
      <w:lvlJc w:val="left"/>
      <w:pPr>
        <w:ind w:left="5760" w:hanging="360"/>
      </w:pPr>
      <w:rPr>
        <w:rFonts w:ascii="Arial" w:hAnsi="Arial" w:eastAsia="Arial" w:cs="Arial"/>
        <w:b w:val="0"/>
        <w:bCs w:val="0"/>
        <w:i w:val="0"/>
        <w:iCs w:val="0"/>
        <w:smallCaps w:val="0"/>
        <w:strike w:val="0"/>
        <w:color w:val="000000"/>
        <w:sz w:val="22"/>
        <w:szCs w:val="22"/>
        <w:u w:val="none"/>
        <w:shd w:val="clear" w:color="auto" w:fill="auto"/>
        <w:vertAlign w:val="baseline"/>
      </w:rPr>
    </w:lvl>
    <w:lvl w:ilvl="8" w:tentative="0">
      <w:start w:val="1"/>
      <w:numFmt w:val="bullet"/>
      <w:lvlText w:val="■"/>
      <w:lvlJc w:val="left"/>
      <w:pPr>
        <w:ind w:left="6480" w:hanging="360"/>
      </w:pPr>
      <w:rPr>
        <w:rFonts w:ascii="Arial" w:hAnsi="Arial" w:eastAsia="Arial" w:cs="Arial"/>
        <w:b w:val="0"/>
        <w:bCs w:val="0"/>
        <w:i w:val="0"/>
        <w:iCs w:val="0"/>
        <w:smallCaps w:val="0"/>
        <w:strike w:val="0"/>
        <w:color w:val="000000"/>
        <w:sz w:val="22"/>
        <w:szCs w:val="22"/>
        <w:u w:val="none"/>
        <w:shd w:val="clear" w:color="auto" w:fill="auto"/>
        <w:vertAlign w:val="baseline"/>
      </w:rPr>
    </w:lvl>
  </w:abstractNum>
  <w:abstractNum w:abstractNumId="4">
    <w:nsid w:val="746F0884"/>
    <w:multiLevelType w:val="multilevel"/>
    <w:tmpl w:val="746F0884"/>
    <w:lvl w:ilvl="0" w:tentative="0">
      <w:start w:val="3"/>
      <w:numFmt w:val="decimal"/>
      <w:lvlText w:val="%1"/>
      <w:lvlJc w:val="left"/>
      <w:pPr>
        <w:ind w:left="360" w:hanging="360"/>
      </w:pPr>
      <w:rPr>
        <w:rFonts w:hint="default"/>
      </w:rPr>
    </w:lvl>
    <w:lvl w:ilvl="1" w:tentative="0">
      <w:start w:val="1"/>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1080" w:hanging="108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440" w:hanging="144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800" w:hanging="1800"/>
      </w:pPr>
      <w:rPr>
        <w:rFonts w:hint="default"/>
      </w:rPr>
    </w:lvl>
    <w:lvl w:ilvl="8" w:tentative="0">
      <w:start w:val="1"/>
      <w:numFmt w:val="decimal"/>
      <w:lvlText w:val="%1.%2.%3.%4.%5.%6.%7.%8.%9"/>
      <w:lvlJc w:val="left"/>
      <w:pPr>
        <w:ind w:left="1800" w:hanging="1800"/>
      </w:pPr>
      <w:rPr>
        <w:rFonts w:hint="default"/>
      </w:rPr>
    </w:lvl>
  </w:abstractNum>
  <w:num w:numId="1">
    <w:abstractNumId w:val="2"/>
  </w:num>
  <w:num w:numId="2">
    <w:abstractNumId w:val="1"/>
  </w:num>
  <w:num w:numId="3">
    <w:abstractNumId w:val="4"/>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Chinese_Std_GBT7714_(numeric)&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w20xwrnefwpve959x509dvf5r0ffsx0f0p&quot;&gt;我的EndNote库&lt;record-ids&gt;&lt;item&gt;2&lt;/item&gt;&lt;item&gt;4&lt;/item&gt;&lt;item&gt;5&lt;/item&gt;&lt;/record-ids&gt;&lt;/item&gt;&lt;/Libraries&gt;"/>
  </w:docVars>
  <w:rsids>
    <w:rsidRoot w:val="00865535"/>
    <w:rsid w:val="003B1084"/>
    <w:rsid w:val="00544ECD"/>
    <w:rsid w:val="00697F91"/>
    <w:rsid w:val="0073611C"/>
    <w:rsid w:val="00865535"/>
    <w:rsid w:val="009A2B2A"/>
    <w:rsid w:val="00A5547E"/>
    <w:rsid w:val="00A7289F"/>
    <w:rsid w:val="00B535C6"/>
    <w:rsid w:val="00BE28E9"/>
    <w:rsid w:val="00D42D6F"/>
    <w:rsid w:val="37AB62E1"/>
    <w:rsid w:val="3BA12D1B"/>
    <w:rsid w:val="4595658F"/>
    <w:rsid w:val="68F760C0"/>
    <w:rsid w:val="69D36B29"/>
    <w:rsid w:val="6EA208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Arial" w:hAnsi="Arial" w:eastAsia="Arial" w:cs="Arial"/>
      <w:sz w:val="22"/>
      <w:szCs w:val="22"/>
      <w:lang w:val="en-US" w:eastAsia="zh-CN" w:bidi="ar-SA"/>
    </w:rPr>
  </w:style>
  <w:style w:type="paragraph" w:styleId="2">
    <w:name w:val="heading 1"/>
    <w:basedOn w:val="1"/>
    <w:next w:val="1"/>
    <w:qFormat/>
    <w:uiPriority w:val="0"/>
    <w:pPr>
      <w:spacing w:before="240" w:after="240"/>
      <w:outlineLvl w:val="0"/>
    </w:pPr>
    <w:rPr>
      <w:b/>
      <w:bCs/>
      <w:sz w:val="48"/>
      <w:szCs w:val="48"/>
    </w:rPr>
  </w:style>
  <w:style w:type="paragraph" w:styleId="3">
    <w:name w:val="heading 2"/>
    <w:basedOn w:val="1"/>
    <w:next w:val="1"/>
    <w:qFormat/>
    <w:uiPriority w:val="0"/>
    <w:pPr>
      <w:spacing w:before="225" w:after="225"/>
      <w:outlineLvl w:val="1"/>
    </w:pPr>
    <w:rPr>
      <w:b/>
      <w:bCs/>
      <w:sz w:val="36"/>
      <w:szCs w:val="36"/>
    </w:rPr>
  </w:style>
  <w:style w:type="paragraph" w:styleId="4">
    <w:name w:val="heading 3"/>
    <w:basedOn w:val="1"/>
    <w:next w:val="1"/>
    <w:qFormat/>
    <w:uiPriority w:val="0"/>
    <w:pPr>
      <w:spacing w:before="240" w:after="240"/>
      <w:outlineLvl w:val="2"/>
    </w:pPr>
    <w:rPr>
      <w:b/>
      <w:bCs/>
      <w:sz w:val="28"/>
      <w:szCs w:val="28"/>
    </w:rPr>
  </w:style>
  <w:style w:type="paragraph" w:styleId="5">
    <w:name w:val="heading 4"/>
    <w:basedOn w:val="1"/>
    <w:next w:val="1"/>
    <w:qFormat/>
    <w:uiPriority w:val="0"/>
    <w:pPr>
      <w:spacing w:before="255" w:after="255"/>
      <w:outlineLvl w:val="3"/>
    </w:pPr>
    <w:rPr>
      <w:b/>
      <w:bCs/>
      <w:sz w:val="24"/>
      <w:szCs w:val="24"/>
    </w:rPr>
  </w:style>
  <w:style w:type="paragraph" w:styleId="6">
    <w:name w:val="heading 5"/>
    <w:basedOn w:val="1"/>
    <w:next w:val="1"/>
    <w:qFormat/>
    <w:uiPriority w:val="0"/>
    <w:pPr>
      <w:spacing w:before="255" w:after="255"/>
      <w:outlineLvl w:val="4"/>
    </w:pPr>
    <w:rPr>
      <w:b/>
      <w:bCs/>
      <w:sz w:val="18"/>
      <w:szCs w:val="18"/>
    </w:rPr>
  </w:style>
  <w:style w:type="paragraph" w:styleId="7">
    <w:name w:val="heading 6"/>
    <w:basedOn w:val="1"/>
    <w:next w:val="1"/>
    <w:qFormat/>
    <w:uiPriority w:val="0"/>
    <w:pPr>
      <w:spacing w:before="360" w:after="360"/>
      <w:outlineLvl w:val="5"/>
    </w:pPr>
    <w:rPr>
      <w:b/>
      <w:bCs/>
      <w:sz w:val="16"/>
      <w:szCs w:val="16"/>
    </w:rPr>
  </w:style>
  <w:style w:type="character" w:default="1" w:styleId="14">
    <w:name w:val="Default Paragraph Font"/>
    <w:unhideWhenUsed/>
    <w:qFormat/>
    <w:uiPriority w:val="1"/>
  </w:style>
  <w:style w:type="table" w:default="1" w:styleId="13">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21"/>
    <w:qFormat/>
    <w:uiPriority w:val="0"/>
    <w:pPr>
      <w:tabs>
        <w:tab w:val="center" w:pos="4153"/>
        <w:tab w:val="right" w:pos="8306"/>
      </w:tabs>
      <w:snapToGrid w:val="0"/>
    </w:pPr>
    <w:rPr>
      <w:sz w:val="18"/>
      <w:szCs w:val="18"/>
    </w:rPr>
  </w:style>
  <w:style w:type="paragraph" w:styleId="9">
    <w:name w:val="header"/>
    <w:basedOn w:val="1"/>
    <w:link w:val="20"/>
    <w:qFormat/>
    <w:uiPriority w:val="0"/>
    <w:pPr>
      <w:tabs>
        <w:tab w:val="center" w:pos="4153"/>
        <w:tab w:val="right" w:pos="8306"/>
      </w:tabs>
      <w:snapToGrid w:val="0"/>
      <w:jc w:val="center"/>
    </w:pPr>
    <w:rPr>
      <w:sz w:val="18"/>
      <w:szCs w:val="18"/>
    </w:rPr>
  </w:style>
  <w:style w:type="paragraph" w:styleId="10">
    <w:name w:val="Subtitle"/>
    <w:basedOn w:val="1"/>
    <w:next w:val="1"/>
    <w:qFormat/>
    <w:uiPriority w:val="0"/>
    <w:pPr>
      <w:keepNext/>
      <w:keepLines/>
      <w:spacing w:before="360" w:after="80"/>
    </w:pPr>
    <w:rPr>
      <w:rFonts w:ascii="Georgia" w:hAnsi="Georgia" w:eastAsia="Georgia" w:cs="Georgia"/>
      <w:i/>
      <w:iCs/>
      <w:color w:val="666666"/>
      <w:sz w:val="48"/>
      <w:szCs w:val="48"/>
    </w:rPr>
  </w:style>
  <w:style w:type="paragraph" w:styleId="11">
    <w:name w:val="Normal (Web)"/>
    <w:basedOn w:val="1"/>
    <w:uiPriority w:val="0"/>
    <w:pPr>
      <w:spacing w:before="0" w:beforeAutospacing="1" w:after="0" w:afterAutospacing="1"/>
      <w:ind w:left="0" w:right="0"/>
      <w:jc w:val="left"/>
    </w:pPr>
    <w:rPr>
      <w:kern w:val="0"/>
      <w:sz w:val="24"/>
      <w:lang w:val="en-US" w:eastAsia="zh-CN" w:bidi="ar"/>
    </w:rPr>
  </w:style>
  <w:style w:type="paragraph" w:styleId="12">
    <w:name w:val="Title"/>
    <w:basedOn w:val="1"/>
    <w:next w:val="1"/>
    <w:qFormat/>
    <w:uiPriority w:val="0"/>
    <w:pPr>
      <w:keepNext/>
      <w:keepLines/>
      <w:spacing w:before="480" w:after="120"/>
    </w:pPr>
    <w:rPr>
      <w:b/>
      <w:bCs/>
      <w:sz w:val="72"/>
      <w:szCs w:val="72"/>
    </w:rPr>
  </w:style>
  <w:style w:type="table" w:customStyle="1" w:styleId="15">
    <w:name w:val="TableNormal"/>
    <w:qFormat/>
    <w:uiPriority w:val="0"/>
    <w:tblPr>
      <w:tblCellMar>
        <w:top w:w="100" w:type="dxa"/>
        <w:left w:w="100" w:type="dxa"/>
        <w:bottom w:w="100" w:type="dxa"/>
        <w:right w:w="100" w:type="dxa"/>
      </w:tblCellMar>
    </w:tblPr>
  </w:style>
  <w:style w:type="paragraph" w:customStyle="1" w:styleId="16">
    <w:name w:val="EndNote Bibliography Title"/>
    <w:basedOn w:val="1"/>
    <w:link w:val="17"/>
    <w:qFormat/>
    <w:uiPriority w:val="0"/>
    <w:pPr>
      <w:jc w:val="center"/>
    </w:pPr>
  </w:style>
  <w:style w:type="character" w:customStyle="1" w:styleId="17">
    <w:name w:val="EndNote Bibliography Title 字符"/>
    <w:basedOn w:val="14"/>
    <w:link w:val="16"/>
    <w:qFormat/>
    <w:uiPriority w:val="0"/>
    <w:rPr>
      <w:rFonts w:eastAsia="Arial"/>
      <w:sz w:val="22"/>
      <w:szCs w:val="22"/>
    </w:rPr>
  </w:style>
  <w:style w:type="paragraph" w:customStyle="1" w:styleId="18">
    <w:name w:val="EndNote Bibliography"/>
    <w:basedOn w:val="1"/>
    <w:link w:val="19"/>
    <w:qFormat/>
    <w:uiPriority w:val="0"/>
  </w:style>
  <w:style w:type="character" w:customStyle="1" w:styleId="19">
    <w:name w:val="EndNote Bibliography 字符"/>
    <w:basedOn w:val="14"/>
    <w:link w:val="18"/>
    <w:qFormat/>
    <w:uiPriority w:val="0"/>
    <w:rPr>
      <w:rFonts w:eastAsia="Arial"/>
      <w:sz w:val="22"/>
      <w:szCs w:val="22"/>
    </w:rPr>
  </w:style>
  <w:style w:type="character" w:customStyle="1" w:styleId="20">
    <w:name w:val="页眉 字符"/>
    <w:basedOn w:val="14"/>
    <w:link w:val="9"/>
    <w:qFormat/>
    <w:uiPriority w:val="0"/>
    <w:rPr>
      <w:rFonts w:eastAsia="Arial"/>
      <w:sz w:val="18"/>
      <w:szCs w:val="18"/>
    </w:rPr>
  </w:style>
  <w:style w:type="character" w:customStyle="1" w:styleId="21">
    <w:name w:val="页脚 字符"/>
    <w:basedOn w:val="14"/>
    <w:link w:val="8"/>
    <w:qFormat/>
    <w:uiPriority w:val="0"/>
    <w:rPr>
      <w:rFonts w:eastAsia="Arial"/>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6</Pages>
  <Words>3033</Words>
  <Characters>3542</Characters>
  <Lines>83</Lines>
  <Paragraphs>68</Paragraphs>
  <TotalTime>12</TotalTime>
  <ScaleCrop>false</ScaleCrop>
  <LinksUpToDate>false</LinksUpToDate>
  <CharactersWithSpaces>3684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2026-01-03T10:40:00Z</dcterms:created>
  <dc:creator>Zander</dc:creator>
  <cp:lastModifiedBy>黄子豪</cp:lastModifiedBy>
  <dcterms:modified xsi:type="dcterms:W3CDTF">2026-01-05T13:25:30Z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eyJoZGlkIjoiYWU0NTlhZjk4ODhjNGY3ZWViNTQ2ZjJkN2ZkODI1YjUiLCJ1c2VySWQiOiIxNjYzNDcxMDE1In0=</vt:lpwstr>
  </property>
  <property fmtid="{D5CDD505-2E9C-101B-9397-08002B2CF9AE}" pid="3" name="KSOProductBuildVer">
    <vt:lpwstr>2052-12.1.0.23542</vt:lpwstr>
  </property>
  <property fmtid="{D5CDD505-2E9C-101B-9397-08002B2CF9AE}" pid="4" name="ICV">
    <vt:lpwstr>D6F85EF8B1CD4EB79D92B1735BABB1C5_12</vt:lpwstr>
  </property>
</Properties>
</file>