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688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688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688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688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688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0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688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688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688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688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688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688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688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688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688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688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688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688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688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690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688"/>
        <w:rPr>
          <w:lang w:val="ru-RU"/>
        </w:rPr>
      </w:pPr>
      <w:r>
        <w:rPr>
          <w:lang w:val="ru-RU"/>
        </w:rPr>
      </w:r>
      <w:r/>
    </w:p>
    <w:p>
      <w:pPr>
        <w:pStyle w:val="69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699"/>
          <w:rFonts w:eastAsia="Calibri"/>
        </w:rPr>
        <w:fldChar w:fldCharType="begin"/>
      </w:r>
      <w:r>
        <w:rPr>
          <w:rStyle w:val="699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699"/>
          <w:rFonts w:eastAsia="Calibri"/>
        </w:rPr>
        <w:instrText xml:space="preserve"> </w:instrText>
      </w:r>
      <w:r>
        <w:rPr>
          <w:rStyle w:val="699"/>
          <w:rFonts w:eastAsia="Calibri"/>
        </w:rPr>
        <w:fldChar w:fldCharType="separate"/>
      </w:r>
      <w:r>
        <w:rPr>
          <w:rStyle w:val="699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69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69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699"/>
          <w:rFonts w:eastAsia="Calibri"/>
        </w:rPr>
        <w:fldChar w:fldCharType="begin"/>
      </w:r>
      <w:r>
        <w:rPr>
          <w:rStyle w:val="699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699"/>
          <w:rFonts w:eastAsia="Calibri"/>
        </w:rPr>
        <w:instrText xml:space="preserve"> </w:instrText>
      </w:r>
      <w:r>
        <w:rPr>
          <w:rStyle w:val="699"/>
          <w:rFonts w:eastAsia="Calibri"/>
        </w:rPr>
        <w:fldChar w:fldCharType="separate"/>
      </w:r>
      <w:r>
        <w:rPr>
          <w:rStyle w:val="699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69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69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699"/>
          <w:rFonts w:eastAsia="Calibri"/>
        </w:rPr>
        <w:fldChar w:fldCharType="begin"/>
      </w:r>
      <w:r>
        <w:rPr>
          <w:rStyle w:val="699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699"/>
          <w:rFonts w:eastAsia="Calibri"/>
        </w:rPr>
        <w:instrText xml:space="preserve"> </w:instrText>
      </w:r>
      <w:r>
        <w:rPr>
          <w:rStyle w:val="699"/>
          <w:rFonts w:eastAsia="Calibri"/>
        </w:rPr>
        <w:fldChar w:fldCharType="separate"/>
      </w:r>
      <w:r>
        <w:rPr>
          <w:rStyle w:val="699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9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69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699"/>
          <w:rFonts w:eastAsia="Calibri"/>
        </w:rPr>
        <w:fldChar w:fldCharType="begin"/>
      </w:r>
      <w:r>
        <w:rPr>
          <w:rStyle w:val="699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699"/>
          <w:rFonts w:eastAsia="Calibri"/>
        </w:rPr>
        <w:instrText xml:space="preserve"> </w:instrText>
      </w:r>
      <w:r>
        <w:rPr>
          <w:rStyle w:val="699"/>
          <w:rFonts w:eastAsia="Calibri"/>
        </w:rPr>
        <w:fldChar w:fldCharType="separate"/>
      </w:r>
      <w:r>
        <w:rPr>
          <w:rStyle w:val="699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9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688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688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688"/>
        <w:spacing w:after="0"/>
        <w:rPr>
          <w:sz w:val="44"/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bookmarkStart w:id="0" w:name="_Toc127113407"/>
      <w:r/>
      <w:r/>
      <w:r/>
      <w:r/>
      <w:r/>
      <w:r/>
      <w:r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  <w:r>
        <w:rPr>
          <w:rFonts w:ascii="Times New Roman" w:hAnsi="Times New Roman" w:eastAsia="Times New Roman" w:cs="Times New Roman"/>
          <w:color w:val="212529"/>
          <w:sz w:val="6"/>
          <w:szCs w:val="24"/>
          <w:highlight w:val="none"/>
          <w:shd w:val="clear" w:color="auto" w:fill="ffffff"/>
          <w:lang w:val="ru-RU" w:eastAsia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71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8"/>
                        <a:stretch/>
                      </pic:blipFill>
                      <pic:spPr bwMode="auto">
                        <a:xfrm flipH="0" flipV="0">
                          <a:off x="0" y="0"/>
                          <a:ext cx="1317073" cy="126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6"/>
          <w:szCs w:val="24"/>
          <w:highlight w:val="none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6"/>
          <w:szCs w:val="24"/>
          <w:highlight w:val="none"/>
          <w:shd w:val="clear" w:color="auto" w:fill="ffffff"/>
          <w:lang w:val="ru-RU" w:eastAsia="ru-RU"/>
        </w:rPr>
      </w:r>
      <w:r>
        <w:rPr>
          <w:sz w:val="44"/>
          <w:lang w:val="ru-RU"/>
        </w:rPr>
      </w:r>
      <w:r>
        <w:rPr>
          <w:rFonts w:ascii="Times New Roman" w:hAnsi="Times New Roman" w:eastAsia="Times New Roman" w:cs="Times New Roman"/>
          <w:color w:val="212529"/>
          <w:sz w:val="6"/>
          <w:szCs w:val="24"/>
          <w:highlight w:val="none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6"/>
          <w:szCs w:val="24"/>
          <w:highlight w:val="none"/>
          <w:shd w:val="clear" w:color="auto" w:fill="ffffff"/>
          <w:lang w:val="ru-RU" w:eastAsia="ru-RU"/>
        </w:rPr>
      </w:r>
      <w:r>
        <w:rPr>
          <w:sz w:val="44"/>
          <w:lang w:val="ru-RU"/>
        </w:rPr>
      </w: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  <w:r>
        <w:rPr>
          <w:sz w:val="44"/>
          <w:lang w:val="ru-RU"/>
        </w:rPr>
      </w:r>
    </w:p>
    <w:p>
      <w:pPr>
        <w:pStyle w:val="688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688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eastAsia="Times New Roman"/>
                <w:sz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20"/>
              </w:rPr>
            </w:pPr>
            <w:r>
              <w:rPr>
                <w:sz w:val="20"/>
              </w:rPr>
              <w:t xml:space="preserve">A000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20"/>
              </w:rPr>
            </w:pPr>
            <w:r>
              <w:rPr>
                <w:sz w:val="20"/>
              </w:rPr>
              <w:t xml:space="preserve">Результат</w:t>
            </w:r>
            <w:r/>
          </w:p>
        </w:tc>
      </w:tr>
      <w:tr>
        <w:trPr>
          <w:trHeight w:val="38"/>
        </w:trPr>
        <w:tc>
          <w:tcPr>
            <w:shd w:val="clear" w:color="auto" w:fill="92d050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2d050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92d050"/>
            <w:tcW w:w="1559" w:type="dxa"/>
            <w:vAlign w:val="bottom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92d050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688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1_4689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/>
            <w:r>
              <w:t xml:space="preserve">BR IP-A</w:t>
            </w:r>
            <w:r/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/>
            <w:r>
              <w:rPr>
                <w:sz w:val="18"/>
                <w:szCs w:val="18"/>
              </w:rPr>
            </w:r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t xml:space="preserve">Останов</w:t>
            </w:r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0B01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t xml:space="preserve">“Элементы массива”</w:t>
            </w:r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0580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1_4689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  <w:rPr>
                <w14:ligatures w14:val="none"/>
              </w:rPr>
            </w:pPr>
            <w:r>
              <w:t xml:space="preserve">0480</w:t>
            </w:r>
            <w:r/>
            <w:r/>
          </w:p>
          <w:p>
            <w:pPr>
              <w:pStyle w:val="1_4689"/>
              <w:rPr>
                <w14:ligatures w14:val="none"/>
              </w:rPr>
            </w:pPr>
            <w:r/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_4689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</w:p>
        </w:tc>
      </w:tr>
    </w:tbl>
    <w:p>
      <w:pPr>
        <w:pStyle w:val="689"/>
        <w:ind w:left="-5"/>
        <w:rPr>
          <w:sz w:val="44"/>
        </w:rPr>
      </w:pPr>
      <w:r/>
      <w:bookmarkStart w:id="1" w:name="_Toc127113408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</w:rPr>
      </w:r>
      <w:r/>
    </w:p>
    <w:p>
      <w:pPr>
        <w:pStyle w:val="688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элементы массива, которые делятся на 4 и сохраняет информацию о них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12"/>
        </w:rPr>
      </w:pPr>
      <w:r>
        <w:rPr>
          <w:rFonts w:ascii="Times New Roman" w:hAnsi="Times New Roman" w:cs="Times New Roman"/>
          <w:bCs/>
          <w:sz w:val="24"/>
          <w:szCs w:val="12"/>
        </w:rPr>
        <w:t xml:space="preserve">MEM(458)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 w:val="32"/>
                    <w:szCs w:val="16"/>
                  </w:rPr>
                  <m:rPr/>
                  <m:t>457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46C+i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46C+i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4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– не моё</w:t>
        <w:br/>
        <w:t xml:space="preserve">что надо написать??</w:t>
      </w:r>
      <w:r/>
    </w:p>
    <w:p>
      <w:pPr>
        <w:pStyle w:val="688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688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/>
    </w:p>
    <w:p>
      <w:pPr>
        <w:pStyle w:val="688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688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2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...</w:t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688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88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/>
    </w:p>
    <w:p>
      <w:pPr>
        <w:pStyle w:val="688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/>
    </w:p>
    <w:p>
      <w:pPr>
        <w:pStyle w:val="688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8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89"/>
        <w:ind w:left="-5"/>
        <w:rPr>
          <w:sz w:val="44"/>
          <w:lang w:val="ru-RU"/>
        </w:rPr>
      </w:pPr>
      <w:r/>
      <w:bookmarkStart w:id="2" w:name="_Toc127113409"/>
      <w:r>
        <w:rPr>
          <w:sz w:val="44"/>
          <w:lang w:val="ru-RU"/>
        </w:rPr>
        <w:t xml:space="preserve">Таблица трассировки</w:t>
      </w:r>
      <w:bookmarkEnd w:id="2"/>
      <w:r>
        <w:rPr>
          <w:sz w:val="44"/>
          <w:lang w:val="ru-RU"/>
        </w:rPr>
        <w:t xml:space="preserve">: ???)</w:t>
      </w:r>
      <w:r/>
    </w:p>
    <w:p>
      <w:pPr>
        <w:pStyle w:val="688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688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689"/>
        <w:ind w:left="-5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688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688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прямую и косвенную адресацию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68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6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688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688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688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688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88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88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88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88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688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88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88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88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88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88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88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88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88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88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688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688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688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688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688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88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88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88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88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688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8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8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8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8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688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8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8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8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8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688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8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8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8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8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688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688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8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8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8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8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8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8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8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8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8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688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8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8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8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8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8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8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8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8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8"/>
    <w:next w:val="68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8"/>
    <w:next w:val="68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88"/>
    <w:next w:val="68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8"/>
    <w:next w:val="68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8"/>
    <w:next w:val="68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8"/>
    <w:next w:val="68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8"/>
    <w:next w:val="68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8"/>
    <w:next w:val="68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8"/>
    <w:next w:val="68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8"/>
    <w:next w:val="68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88"/>
    <w:next w:val="68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88"/>
    <w:next w:val="68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8"/>
    <w:next w:val="68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8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88"/>
    <w:next w:val="6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8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88"/>
    <w:next w:val="68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8"/>
    <w:next w:val="68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8"/>
    <w:next w:val="68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8"/>
    <w:next w:val="68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8"/>
    <w:next w:val="68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8"/>
    <w:next w:val="68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8"/>
    <w:next w:val="68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8"/>
    <w:next w:val="68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8"/>
    <w:next w:val="68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8"/>
    <w:next w:val="688"/>
    <w:uiPriority w:val="99"/>
    <w:unhideWhenUsed/>
    <w:pPr>
      <w:spacing w:after="0" w:afterAutospacing="0"/>
    </w:pPr>
  </w:style>
  <w:style w:type="character" w:styleId="688" w:default="1">
    <w:name w:val="Normal"/>
    <w:next w:val="688"/>
    <w:link w:val="688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689">
    <w:name w:val="Заголовок 1"/>
    <w:next w:val="688"/>
    <w:link w:val="697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690">
    <w:name w:val="Заголовок 2"/>
    <w:next w:val="688"/>
    <w:link w:val="696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691">
    <w:name w:val="Заголовок 3"/>
    <w:next w:val="688"/>
    <w:link w:val="695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692">
    <w:name w:val="Основной шрифт абзаца"/>
    <w:next w:val="692"/>
    <w:link w:val="688"/>
    <w:uiPriority w:val="1"/>
    <w:unhideWhenUsed/>
  </w:style>
  <w:style w:type="table" w:styleId="693">
    <w:name w:val="Обычная таблица"/>
    <w:next w:val="693"/>
    <w:link w:val="688"/>
    <w:uiPriority w:val="99"/>
    <w:semiHidden/>
    <w:unhideWhenUsed/>
    <w:tblPr/>
  </w:style>
  <w:style w:type="numbering" w:styleId="694">
    <w:name w:val="Нет списка"/>
    <w:next w:val="694"/>
    <w:link w:val="688"/>
    <w:uiPriority w:val="99"/>
    <w:semiHidden/>
    <w:unhideWhenUsed/>
  </w:style>
  <w:style w:type="character" w:styleId="695">
    <w:name w:val="Заголовок 3 Знак"/>
    <w:next w:val="695"/>
    <w:link w:val="691"/>
    <w:rPr>
      <w:rFonts w:ascii="Times New Roman" w:hAnsi="Times New Roman" w:eastAsia="Times New Roman" w:cs="Times New Roman"/>
      <w:b/>
      <w:color w:val="000000"/>
      <w:sz w:val="22"/>
    </w:rPr>
  </w:style>
  <w:style w:type="character" w:styleId="696">
    <w:name w:val="Заголовок 2 Знак"/>
    <w:next w:val="696"/>
    <w:link w:val="690"/>
    <w:rPr>
      <w:rFonts w:ascii="Times New Roman" w:hAnsi="Times New Roman" w:eastAsia="Times New Roman" w:cs="Times New Roman"/>
      <w:color w:val="000000"/>
      <w:sz w:val="56"/>
    </w:rPr>
  </w:style>
  <w:style w:type="character" w:styleId="697">
    <w:name w:val="Заголовок 1 Знак"/>
    <w:next w:val="697"/>
    <w:link w:val="689"/>
    <w:rPr>
      <w:rFonts w:ascii="Times New Roman" w:hAnsi="Times New Roman" w:eastAsia="Times New Roman" w:cs="Times New Roman"/>
      <w:color w:val="000000"/>
      <w:sz w:val="56"/>
    </w:rPr>
  </w:style>
  <w:style w:type="paragraph" w:styleId="698">
    <w:name w:val="Оглавление 1"/>
    <w:next w:val="698"/>
    <w:link w:val="688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699">
    <w:name w:val="Гиперссылка"/>
    <w:next w:val="699"/>
    <w:link w:val="688"/>
    <w:uiPriority w:val="99"/>
    <w:unhideWhenUsed/>
    <w:rPr>
      <w:color w:val="0563c1"/>
      <w:u w:val="single"/>
    </w:rPr>
  </w:style>
  <w:style w:type="paragraph" w:styleId="700">
    <w:name w:val="Абзац списка"/>
    <w:basedOn w:val="688"/>
    <w:next w:val="700"/>
    <w:link w:val="688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701">
    <w:name w:val="Обычный (веб)"/>
    <w:basedOn w:val="688"/>
    <w:next w:val="701"/>
    <w:link w:val="68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702">
    <w:name w:val="Сетка таблицы"/>
    <w:basedOn w:val="693"/>
    <w:next w:val="702"/>
    <w:link w:val="688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703">
    <w:name w:val="Верхний колонтитул"/>
    <w:basedOn w:val="688"/>
    <w:next w:val="703"/>
    <w:link w:val="70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4">
    <w:name w:val="Верхний колонтитул Знак"/>
    <w:next w:val="704"/>
    <w:link w:val="703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705">
    <w:name w:val="Нижний колонтитул"/>
    <w:basedOn w:val="688"/>
    <w:next w:val="705"/>
    <w:link w:val="70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6">
    <w:name w:val="Нижний колонтитул Знак"/>
    <w:next w:val="706"/>
    <w:link w:val="705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707">
    <w:name w:val="Без интервала"/>
    <w:next w:val="707"/>
    <w:link w:val="688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2623" w:default="1">
    <w:name w:val="Default Paragraph Font"/>
    <w:uiPriority w:val="1"/>
    <w:semiHidden/>
    <w:unhideWhenUsed/>
  </w:style>
  <w:style w:type="numbering" w:styleId="2624" w:default="1">
    <w:name w:val="No List"/>
    <w:uiPriority w:val="99"/>
    <w:semiHidden/>
    <w:unhideWhenUsed/>
  </w:style>
  <w:style w:type="table" w:styleId="2625" w:default="1">
    <w:name w:val="Normal Table"/>
    <w:uiPriority w:val="99"/>
    <w:semiHidden/>
    <w:unhideWhenUsed/>
    <w:tblPr/>
  </w:style>
  <w:style w:type="character" w:styleId="1_4690" w:customStyle="1">
    <w:name w:val="MyText_character"/>
    <w:link w:val="1_4689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1_4689" w:customStyle="1">
    <w:name w:val="MyText"/>
    <w:basedOn w:val="688"/>
    <w:link w:val="1_4690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139</cp:revision>
  <dcterms:created xsi:type="dcterms:W3CDTF">2022-10-24T19:56:00Z</dcterms:created>
  <dcterms:modified xsi:type="dcterms:W3CDTF">2023-02-15T21:50:11Z</dcterms:modified>
  <cp:version>983040</cp:version>
</cp:coreProperties>
</file>