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2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2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2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2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2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2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2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2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912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2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/>
      <w:r/>
      <w:r>
        <w:rPr>
          <w:lang w:val="ru-RU"/>
        </w:rPr>
      </w:r>
      <w:r/>
    </w:p>
    <w:p>
      <w:pPr>
        <w:pStyle w:val="912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2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3"/>
          <w:rFonts w:eastAsia="Calibri"/>
        </w:rPr>
        <w:fldChar w:fldCharType="begin"/>
      </w:r>
      <w:r>
        <w:rPr>
          <w:rStyle w:val="923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3"/>
          <w:rFonts w:eastAsia="Calibri"/>
        </w:rPr>
        <w:instrText xml:space="preserve"> </w:instrText>
      </w:r>
      <w:r>
        <w:rPr>
          <w:rStyle w:val="923"/>
          <w:rFonts w:eastAsia="Calibri"/>
        </w:rPr>
        <w:fldChar w:fldCharType="separate"/>
      </w:r>
      <w:r>
        <w:rPr>
          <w:rStyle w:val="923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2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2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3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3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3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2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/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1"/>
      </w:pPr>
      <w:r/>
      <w:r/>
    </w:p>
    <w:p>
      <w:pPr>
        <w:pStyle w:val="931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≤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0, то переход на 663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6F7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2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32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/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/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/>
      <w:r>
        <w:rPr>
          <w:highlight w:val="none"/>
        </w:rPr>
        <w:t xml:space="preserve">1) + 1</w:t>
      </w:r>
      <w:r/>
    </w:p>
    <w:p>
      <w:pPr>
        <w:pStyle w:val="932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w:r/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/>
      <w:r>
        <w:rPr>
          <w:highlight w:val="none"/>
        </w:rPr>
        <w:t xml:space="preserve"> 1  </w:t>
      </w:r>
      <w:r>
        <w:rPr>
          <w:highlight w:val="none"/>
        </w:rPr>
      </w:r>
      <w:r>
        <w:rPr>
          <w:highlight w:val="none"/>
        </w:rPr>
      </w:r>
    </w:p>
    <w:p>
      <w:pPr>
        <w:pStyle w:val="932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325</m:t>
                  </m:r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, x </m:t>
                  </m:r>
                  <m:r>
                    <w:rPr>
                      <w:rFonts w:ascii="Cambria Math" w:hAnsi="Cambria Math"/>
                      <w:i/>
                    </w:rPr>
                    <m:rPr/>
                    <m:t>≤ 0, x≥325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229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450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422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33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0B1-0CA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0CB, 0CC, 0CD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0CE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 итоговый результат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2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65E-66A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66B, 66C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2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0B1</w:t>
      </w:r>
      <w:r>
        <w:rPr>
          <w:highlight w:val="none"/>
        </w:rPr>
      </w:r>
    </w:p>
    <w:p>
      <w:pPr>
        <w:pStyle w:val="912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0CA</w:t>
      </w:r>
      <w:r/>
    </w:p>
    <w:p>
      <w:pPr>
        <w:pStyle w:val="912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2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 65E</w:t>
      </w:r>
      <w:r>
        <w:rPr>
          <w:highlight w:val="none"/>
        </w:rPr>
      </w:r>
    </w:p>
    <w:p>
      <w:pPr>
        <w:pStyle w:val="912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 66A </w:t>
      </w:r>
      <w:r>
        <w:rPr>
          <w:highlight w:val="none"/>
        </w:rPr>
      </w:r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145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</w:t>
      </w:r>
      <w:r>
        <w:rPr>
          <w:highlight w:val="none"/>
        </w:rPr>
        <w:t xml:space="preserve">325</w:t>
      </w:r>
      <w:r>
        <w:rPr>
          <w:highlight w:val="none"/>
        </w:rPr>
      </w:r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42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66</w:t>
      </w:r>
      <w:r>
        <w:rPr>
          <w:highlight w:val="none"/>
        </w:rPr>
      </w:r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[325,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325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+ 66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324]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1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1</m:t>
              </m:r>
            </m:e>
          </m:d>
          <m:r>
            <w:rPr>
              <w:rFonts w:ascii="Cambria Math" w:hAnsi="Cambria Math"/>
              <w:i/>
            </w:rPr>
            <m:rPr/>
            <m:t>=69</m:t>
          </m:r>
        </m:oMath>
      </m:oMathPara>
      <w:r/>
    </w:p>
    <w:p>
      <w:pPr>
        <w:pStyle w:val="931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324</m:t>
              </m:r>
            </m:e>
          </m:d>
          <m:r>
            <w:rPr>
              <w:rFonts w:ascii="Cambria Math" w:hAnsi="Cambria Math"/>
              <w:i/>
            </w:rPr>
            <m:rPr/>
            <m:t>=1038</m:t>
          </m:r>
        </m:oMath>
      </m:oMathPara>
      <w:r/>
    </w:p>
    <w:p>
      <w:pPr>
        <w:pStyle w:val="931"/>
        <w:rPr>
          <w:lang w:val="en-US"/>
        </w:rPr>
      </w:pPr>
      <w:r>
        <w:rPr>
          <w:lang w:val="en-US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69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1038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2"/>
        <w:jc w:val="center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</w:t>
      </w:r>
      <w:r/>
      <w:r>
        <w:rPr>
          <w:highlight w:val="none"/>
        </w:rPr>
      </w:r>
    </w:p>
    <w:p>
      <w:pPr>
        <w:pStyle w:val="912"/>
        <w:spacing w:after="0"/>
      </w:pPr>
      <w:r/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-1038 + 69 + 69 - 1 = -901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-69 + 1038 + 1038 - 1 = 2006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4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-901</w:t>
      </w:r>
      <w:r/>
      <w:r>
        <w:rPr>
          <w:rFonts w:cs="Calibri"/>
          <w:bCs/>
          <w:iCs/>
          <w:sz w:val="24"/>
          <w:szCs w:val="12"/>
        </w:rPr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cs="Calibri"/>
          <w:bCs/>
          <w:iCs/>
          <w:sz w:val="24"/>
          <w:szCs w:val="12"/>
          <w:highlight w:val="none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2006</w:t>
      </w:r>
      <w:r/>
      <w:r>
        <w:rPr>
          <w:rFonts w:cs="Calibri"/>
          <w:bCs/>
          <w:iCs/>
          <w:sz w:val="24"/>
          <w:szCs w:val="12"/>
          <w:highlight w:val="none"/>
        </w:rPr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4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2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2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3"/>
        <w:ind w:left="-5"/>
        <w:pageBreakBefore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2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  <w:highlight w:val="none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Y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Z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получаем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highlight w:val="none"/>
        </w:rPr>
      </w:r>
    </w:p>
    <w:p>
      <w:pPr>
        <w:pStyle w:val="912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2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R = 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2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2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2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2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2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2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2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2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2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2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2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2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2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2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2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2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2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2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2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2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  <w:highlight w:val="none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2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4">
    <w:name w:val="Heading 1"/>
    <w:basedOn w:val="912"/>
    <w:next w:val="912"/>
    <w:link w:val="7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5">
    <w:name w:val="Heading 1 Char"/>
    <w:link w:val="734"/>
    <w:uiPriority w:val="9"/>
    <w:rPr>
      <w:rFonts w:ascii="Arial" w:hAnsi="Arial" w:eastAsia="Arial" w:cs="Arial"/>
      <w:sz w:val="40"/>
      <w:szCs w:val="40"/>
    </w:rPr>
  </w:style>
  <w:style w:type="paragraph" w:styleId="736">
    <w:name w:val="Heading 2"/>
    <w:basedOn w:val="912"/>
    <w:next w:val="912"/>
    <w:link w:val="7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7">
    <w:name w:val="Heading 2 Char"/>
    <w:link w:val="736"/>
    <w:uiPriority w:val="9"/>
    <w:rPr>
      <w:rFonts w:ascii="Arial" w:hAnsi="Arial" w:eastAsia="Arial" w:cs="Arial"/>
      <w:sz w:val="34"/>
    </w:rPr>
  </w:style>
  <w:style w:type="paragraph" w:styleId="738">
    <w:name w:val="Heading 3"/>
    <w:basedOn w:val="912"/>
    <w:next w:val="912"/>
    <w:link w:val="7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9">
    <w:name w:val="Heading 3 Char"/>
    <w:link w:val="738"/>
    <w:uiPriority w:val="9"/>
    <w:rPr>
      <w:rFonts w:ascii="Arial" w:hAnsi="Arial" w:eastAsia="Arial" w:cs="Arial"/>
      <w:sz w:val="30"/>
      <w:szCs w:val="30"/>
    </w:rPr>
  </w:style>
  <w:style w:type="paragraph" w:styleId="740">
    <w:name w:val="Heading 4"/>
    <w:basedOn w:val="912"/>
    <w:next w:val="912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912"/>
    <w:next w:val="912"/>
    <w:link w:val="7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3">
    <w:name w:val="Heading 5 Char"/>
    <w:link w:val="742"/>
    <w:uiPriority w:val="9"/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912"/>
    <w:next w:val="912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5">
    <w:name w:val="Heading 6 Char"/>
    <w:link w:val="744"/>
    <w:uiPriority w:val="9"/>
    <w:rPr>
      <w:rFonts w:ascii="Arial" w:hAnsi="Arial" w:eastAsia="Arial" w:cs="Arial"/>
      <w:b/>
      <w:bCs/>
      <w:sz w:val="22"/>
      <w:szCs w:val="22"/>
    </w:rPr>
  </w:style>
  <w:style w:type="paragraph" w:styleId="746">
    <w:name w:val="Heading 7"/>
    <w:basedOn w:val="912"/>
    <w:next w:val="912"/>
    <w:link w:val="7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7">
    <w:name w:val="Heading 7 Char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912"/>
    <w:next w:val="912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9">
    <w:name w:val="Heading 8 Char"/>
    <w:link w:val="748"/>
    <w:uiPriority w:val="9"/>
    <w:rPr>
      <w:rFonts w:ascii="Arial" w:hAnsi="Arial" w:eastAsia="Arial" w:cs="Arial"/>
      <w:i/>
      <w:iCs/>
      <w:sz w:val="22"/>
      <w:szCs w:val="22"/>
    </w:rPr>
  </w:style>
  <w:style w:type="paragraph" w:styleId="750">
    <w:name w:val="Heading 9"/>
    <w:basedOn w:val="912"/>
    <w:next w:val="912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912"/>
    <w:uiPriority w:val="34"/>
    <w:qFormat/>
    <w:pPr>
      <w:contextualSpacing/>
      <w:ind w:left="720"/>
    </w:p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912"/>
    <w:next w:val="912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spacing w:after="40" w:line="240" w:lineRule="auto"/>
    </w:pPr>
    <w:rPr>
      <w:sz w:val="18"/>
    </w:r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spacing w:after="0" w:line="240" w:lineRule="auto"/>
    </w:pPr>
    <w:rPr>
      <w:sz w:val="20"/>
    </w:r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283" w:right="0" w:firstLine="0"/>
      <w:spacing w:after="57"/>
    </w:pPr>
  </w:style>
  <w:style w:type="paragraph" w:styleId="903">
    <w:name w:val="toc 3"/>
    <w:basedOn w:val="912"/>
    <w:next w:val="912"/>
    <w:uiPriority w:val="39"/>
    <w:unhideWhenUsed/>
    <w:pPr>
      <w:ind w:left="567" w:right="0" w:firstLine="0"/>
      <w:spacing w:after="57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next w:val="912"/>
    <w:link w:val="912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3">
    <w:name w:val="Заголовок 1"/>
    <w:next w:val="912"/>
    <w:link w:val="921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4">
    <w:name w:val="Заголовок 2"/>
    <w:next w:val="912"/>
    <w:link w:val="920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5">
    <w:name w:val="Заголовок 3"/>
    <w:next w:val="912"/>
    <w:link w:val="919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6">
    <w:name w:val="Основной шрифт абзаца"/>
    <w:next w:val="916"/>
    <w:link w:val="912"/>
    <w:uiPriority w:val="1"/>
    <w:unhideWhenUsed/>
  </w:style>
  <w:style w:type="table" w:styleId="917">
    <w:name w:val="Обычная таблица"/>
    <w:next w:val="917"/>
    <w:link w:val="912"/>
    <w:uiPriority w:val="99"/>
    <w:semiHidden/>
    <w:unhideWhenUsed/>
    <w:tblPr/>
  </w:style>
  <w:style w:type="numbering" w:styleId="918">
    <w:name w:val="Нет списка"/>
    <w:next w:val="918"/>
    <w:link w:val="912"/>
    <w:uiPriority w:val="99"/>
    <w:semiHidden/>
    <w:unhideWhenUsed/>
  </w:style>
  <w:style w:type="character" w:styleId="919">
    <w:name w:val="Заголовок 3 Знак"/>
    <w:next w:val="919"/>
    <w:link w:val="915"/>
    <w:rPr>
      <w:rFonts w:ascii="Times New Roman" w:hAnsi="Times New Roman" w:eastAsia="Times New Roman" w:cs="Times New Roman"/>
      <w:b/>
      <w:color w:val="000000"/>
      <w:sz w:val="22"/>
    </w:rPr>
  </w:style>
  <w:style w:type="character" w:styleId="920">
    <w:name w:val="Заголовок 2 Знак"/>
    <w:next w:val="920"/>
    <w:link w:val="914"/>
    <w:rPr>
      <w:rFonts w:ascii="Times New Roman" w:hAnsi="Times New Roman" w:eastAsia="Times New Roman" w:cs="Times New Roman"/>
      <w:color w:val="000000"/>
      <w:sz w:val="56"/>
    </w:rPr>
  </w:style>
  <w:style w:type="character" w:styleId="921">
    <w:name w:val="Заголовок 1 Знак"/>
    <w:next w:val="921"/>
    <w:link w:val="913"/>
    <w:rPr>
      <w:rFonts w:ascii="Times New Roman" w:hAnsi="Times New Roman" w:eastAsia="Times New Roman" w:cs="Times New Roman"/>
      <w:color w:val="000000"/>
      <w:sz w:val="56"/>
    </w:rPr>
  </w:style>
  <w:style w:type="paragraph" w:styleId="922">
    <w:name w:val="Оглавление 1"/>
    <w:next w:val="922"/>
    <w:link w:val="912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3">
    <w:name w:val="Гиперссылка"/>
    <w:next w:val="923"/>
    <w:link w:val="912"/>
    <w:uiPriority w:val="99"/>
    <w:unhideWhenUsed/>
    <w:rPr>
      <w:color w:val="0563c1"/>
      <w:u w:val="single"/>
    </w:rPr>
  </w:style>
  <w:style w:type="paragraph" w:styleId="924">
    <w:name w:val="Абзац списка"/>
    <w:basedOn w:val="912"/>
    <w:next w:val="924"/>
    <w:link w:val="912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5">
    <w:name w:val="Обычный (веб)"/>
    <w:basedOn w:val="912"/>
    <w:next w:val="925"/>
    <w:link w:val="91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6">
    <w:name w:val="Сетка таблицы"/>
    <w:basedOn w:val="917"/>
    <w:next w:val="926"/>
    <w:link w:val="912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7">
    <w:name w:val="Верхний колонтитул"/>
    <w:basedOn w:val="912"/>
    <w:next w:val="927"/>
    <w:link w:val="92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8">
    <w:name w:val="Верхний колонтитул Знак"/>
    <w:next w:val="928"/>
    <w:link w:val="92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9">
    <w:name w:val="Нижний колонтитул"/>
    <w:basedOn w:val="912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Ниж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Без интервала"/>
    <w:next w:val="931"/>
    <w:link w:val="912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2">
    <w:name w:val="Основной текст"/>
    <w:next w:val="932"/>
    <w:link w:val="933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3">
    <w:name w:val="Основной текст Знак"/>
    <w:next w:val="933"/>
    <w:link w:val="932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4" w:default="1">
    <w:name w:val="Default Paragraph Font"/>
    <w:uiPriority w:val="1"/>
    <w:semiHidden/>
    <w:unhideWhenUsed/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229</cp:revision>
  <dcterms:created xsi:type="dcterms:W3CDTF">2022-10-24T19:56:00Z</dcterms:created>
  <dcterms:modified xsi:type="dcterms:W3CDTF">2023-03-15T17:39:26Z</dcterms:modified>
  <cp:version>983040</cp:version>
</cp:coreProperties>
</file>