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pPr>
      <w:r>
        <w:t xml:space="preserve"/>
      </w:r>
    </w:p>
    <w:p>
      <w:pPr>
        <w:spacing w:after="160" w:before="300"/>
        <w:jc w:val="center"/>
      </w:pPr>
      <w:r>
        <w:rPr>
          <w:rFonts w:ascii="Calibri" w:cs="Calibri" w:eastAsia="Calibri" w:hAnsi="Calibri"/>
          <w:b/>
          <w:bCs/>
          <w:color w:val="E85D04"/>
          <w:sz w:val="80"/>
          <w:szCs w:val="80"/>
        </w:rPr>
        <w:t xml:space="preserve">SentinelAI CLI</w:t>
      </w:r>
    </w:p>
    <w:p>
      <w:pPr>
        <w:spacing w:after="80" w:before="80"/>
        <w:jc w:val="center"/>
      </w:pPr>
      <w:r>
        <w:rPr>
          <w:rFonts w:ascii="Calibri" w:cs="Calibri" w:eastAsia="Calibri" w:hAnsi="Calibri"/>
          <w:color w:val="1A1A2E"/>
          <w:sz w:val="40"/>
          <w:szCs w:val="40"/>
        </w:rPr>
        <w:t xml:space="preserve">AI Security Copilot</w:t>
      </w:r>
    </w:p>
    <w:p>
      <w:pPr>
        <w:spacing w:after="80" w:before="80"/>
        <w:jc w:val="center"/>
      </w:pPr>
      <w:r>
        <w:rPr>
          <w:rFonts w:ascii="Calibri" w:cs="Calibri" w:eastAsia="Calibri" w:hAnsi="Calibri"/>
          <w:i/>
          <w:iCs/>
          <w:color w:val="888888"/>
          <w:sz w:val="26"/>
          <w:szCs w:val="26"/>
        </w:rPr>
        <w:t xml:space="preserve">Product Vision Document</w:t>
      </w:r>
    </w:p>
    <w:p>
      <w:pPr>
        <w:spacing w:after="80" w:before="80"/>
      </w:pPr>
      <w:r>
        <w:t xml:space="preserve"/>
      </w:r>
    </w:p>
    <w:p>
      <w:pPr>
        <w:spacing w:after="60" w:before="60"/>
        <w:jc w:val="center"/>
      </w:pPr>
      <w:r>
        <w:rPr>
          <w:rFonts w:ascii="Calibri" w:cs="Calibri" w:eastAsia="Calibri" w:hAnsi="Calibri"/>
          <w:b/>
          <w:bCs/>
          <w:color w:val="1A1A2E"/>
          <w:sz w:val="22"/>
          <w:szCs w:val="22"/>
        </w:rPr>
        <w:t xml:space="preserve">Team Name: </w:t>
      </w:r>
      <w:r>
        <w:rPr>
          <w:rFonts w:ascii="Calibri" w:cs="Calibri" w:eastAsia="Calibri" w:hAnsi="Calibri"/>
          <w:color w:val="1A1A2E"/>
          <w:sz w:val="22"/>
          <w:szCs w:val="22"/>
        </w:rPr>
        <w:t xml:space="preserve">Finatics</w:t>
      </w:r>
    </w:p>
    <w:p>
      <w:pPr>
        <w:spacing w:after="60" w:before="60"/>
        <w:jc w:val="center"/>
      </w:pPr>
      <w:r>
        <w:rPr>
          <w:rFonts w:ascii="Calibri" w:cs="Calibri" w:eastAsia="Calibri" w:hAnsi="Calibri"/>
          <w:b/>
          <w:bCs/>
          <w:color w:val="1A1A2E"/>
          <w:sz w:val="22"/>
          <w:szCs w:val="22"/>
        </w:rPr>
        <w:t xml:space="preserve">Product Name: </w:t>
      </w:r>
      <w:r>
        <w:rPr>
          <w:rFonts w:ascii="Calibri" w:cs="Calibri" w:eastAsia="Calibri" w:hAnsi="Calibri"/>
          <w:color w:val="1A1A2E"/>
          <w:sz w:val="22"/>
          <w:szCs w:val="22"/>
        </w:rPr>
        <w:t xml:space="preserve">SentinelAI CLI</w:t>
      </w:r>
    </w:p>
    <w:p>
      <w:pPr>
        <w:spacing w:after="60" w:before="60"/>
        <w:jc w:val="center"/>
      </w:pPr>
      <w:r>
        <w:rPr>
          <w:rFonts w:ascii="Calibri" w:cs="Calibri" w:eastAsia="Calibri" w:hAnsi="Calibri"/>
          <w:b/>
          <w:bCs/>
          <w:color w:val="1A1A2E"/>
          <w:sz w:val="22"/>
          <w:szCs w:val="22"/>
        </w:rPr>
        <w:t xml:space="preserve">Date: </w:t>
      </w:r>
      <w:r>
        <w:rPr>
          <w:rFonts w:ascii="Calibri" w:cs="Calibri" w:eastAsia="Calibri" w:hAnsi="Calibri"/>
          <w:color w:val="1A1A2E"/>
          <w:sz w:val="22"/>
          <w:szCs w:val="22"/>
        </w:rPr>
        <w:t xml:space="preserve">July 2026</w:t>
      </w:r>
    </w:p>
    <w:p>
      <w:pPr>
        <w:spacing w:after="60" w:before="60"/>
        <w:jc w:val="center"/>
      </w:pPr>
      <w:r>
        <w:rPr>
          <w:rFonts w:ascii="Calibri" w:cs="Calibri" w:eastAsia="Calibri" w:hAnsi="Calibri"/>
          <w:b/>
          <w:bCs/>
          <w:color w:val="1A1A2E"/>
          <w:sz w:val="22"/>
          <w:szCs w:val="22"/>
        </w:rPr>
        <w:t xml:space="preserve">Version: </w:t>
      </w:r>
      <w:r>
        <w:rPr>
          <w:rFonts w:ascii="Calibri" w:cs="Calibri" w:eastAsia="Calibri" w:hAnsi="Calibri"/>
          <w:color w:val="1A1A2E"/>
          <w:sz w:val="22"/>
          <w:szCs w:val="22"/>
        </w:rPr>
        <w:t xml:space="preserve">v1.0</w:t>
      </w:r>
    </w:p>
    <w:p>
      <w:pPr>
        <w:spacing w:after="120" w:before="60"/>
        <w:jc w:val="center"/>
      </w:pPr>
      <w:r>
        <w:rPr>
          <w:rFonts w:ascii="Calibri" w:cs="Calibri" w:eastAsia="Calibri" w:hAnsi="Calibri"/>
          <w:b/>
          <w:bCs/>
          <w:color w:val="E85D04"/>
          <w:sz w:val="22"/>
          <w:szCs w:val="22"/>
        </w:rPr>
        <w:t xml:space="preserve">CodeQuest 4.0</w:t>
      </w:r>
    </w:p>
    <w:p>
      <w:pPr>
        <w:pBdr>
          <w:bottom w:val="single" w:color="DDDDDD" w:sz="4"/>
        </w:pBdr>
        <w:spacing w:after="200" w:before="200"/>
      </w:pPr>
      <w:r>
        <w:t xml:space="preserve"/>
      </w:r>
    </w:p>
    <w:p>
      <w:pPr>
        <w:pBdr>
          <w:bottom w:val="single" w:color="E85D04" w:sz="8"/>
        </w:pBdr>
        <w:spacing w:after="160" w:before="400"/>
      </w:pPr>
      <w:r>
        <w:rPr>
          <w:rFonts w:ascii="Calibri" w:cs="Calibri" w:eastAsia="Calibri" w:hAnsi="Calibri"/>
          <w:b/>
          <w:bCs/>
          <w:color w:val="E85D04"/>
          <w:sz w:val="36"/>
          <w:szCs w:val="36"/>
        </w:rPr>
        <w:t xml:space="preserve">01  </w:t>
      </w:r>
      <w:r>
        <w:rPr>
          <w:rFonts w:ascii="Calibri" w:cs="Calibri" w:eastAsia="Calibri" w:hAnsi="Calibri"/>
          <w:b/>
          <w:bCs/>
          <w:color w:val="1A1A2E"/>
          <w:sz w:val="36"/>
          <w:szCs w:val="36"/>
        </w:rPr>
        <w:t xml:space="preserve">Vision Statement</w:t>
      </w:r>
    </w:p>
    <w:p>
      <w:pPr>
        <w:spacing w:after="100" w:before="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none" w:color="FFFFFF" w:sz="0"/>
              <w:left w:val="none" w:color="FFFFFF" w:sz="0"/>
              <w:bottom w:val="none" w:color="FFFFFF" w:sz="0"/>
              <w:right w:val="none" w:color="FFFFFF" w:sz="0"/>
            </w:tcBorders>
            <w:shd w:fill="E85D04" w:val="clear"/>
            <w:tcMar>
              <w:top w:type="dxa" w:w="140"/>
              <w:left w:type="dxa" w:w="240"/>
              <w:bottom w:type="dxa" w:w="140"/>
              <w:right w:type="dxa" w:w="240"/>
            </w:tcMar>
          </w:tcPr>
          <w:p>
            <w:pPr>
              <w:spacing w:after="80" w:before="0"/>
            </w:pPr>
            <w:r>
              <w:rPr>
                <w:rFonts w:ascii="Calibri" w:cs="Calibri" w:eastAsia="Calibri" w:hAnsi="Calibri"/>
                <w:b/>
                <w:bCs/>
                <w:color w:val="FFFFFF"/>
                <w:sz w:val="26"/>
                <w:szCs w:val="26"/>
              </w:rPr>
              <w:t xml:space="preserve">Our Vision</w:t>
            </w:r>
          </w:p>
          <w:p>
            <w:pPr>
              <w:spacing w:after="0" w:before="0"/>
            </w:pPr>
            <w:r>
              <w:rPr>
                <w:rFonts w:ascii="Calibri" w:cs="Calibri" w:eastAsia="Calibri" w:hAnsi="Calibri"/>
                <w:i/>
                <w:iCs/>
                <w:color w:val="FFFFFF"/>
                <w:sz w:val="22"/>
                <w:szCs w:val="22"/>
              </w:rPr>
              <w:t xml:space="preserve">To become the world's most accessible AI-powered cybersecurity copilot — empowering every cybersecurity student to understand, analyze, and defend against real threats, without needing years of experience to get started.</w:t>
            </w:r>
          </w:p>
        </w:tc>
      </w:tr>
    </w:tbl>
    <w:p>
      <w:pPr>
        <w:spacing w:after="80" w:before="1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none" w:color="FFFFFF" w:sz="0"/>
              <w:left w:val="single" w:color="E85D04" w:sz="16"/>
              <w:bottom w:val="none" w:color="FFFFFF" w:sz="0"/>
              <w:right w:val="none" w:color="FFFFFF" w:sz="0"/>
            </w:tcBorders>
            <w:shd w:fill="16213E" w:val="clear"/>
            <w:tcMar>
              <w:top w:type="dxa" w:w="120"/>
              <w:left w:type="dxa" w:w="240"/>
              <w:bottom w:type="dxa" w:w="120"/>
              <w:right w:type="dxa" w:w="240"/>
            </w:tcMar>
          </w:tcPr>
          <w:p>
            <w:pPr>
              <w:spacing w:after="0" w:before="0"/>
            </w:pPr>
            <w:r>
              <w:rPr>
                <w:rFonts w:ascii="Calibri" w:cs="Calibri" w:eastAsia="Calibri" w:hAnsi="Calibri"/>
                <w:i/>
                <w:iCs/>
                <w:color w:val="FFFFFF"/>
                <w:sz w:val="22"/>
                <w:szCs w:val="22"/>
              </w:rPr>
              <w:t xml:space="preserve">For cybersecurity students and small IT teams, who struggle to interpret raw security data and cannot afford enterprise tools, SentinelAI CLI is an AI security copilot that translates complex findings into plain English, maps threats to industry frameworks, and generates professional reports in one command. Unlike PentestGPT or METATRON — which are offensive-only, Linux-only, and expert-oriented — we are the only tool built for defenders, beginners, and Windows users.</w:t>
            </w:r>
          </w:p>
        </w:tc>
      </w:tr>
    </w:tbl>
    <w:p>
      <w:pPr>
        <w:spacing w:after="100" w:before="100"/>
      </w:pPr>
      <w:r>
        <w:t xml:space="preserve"/>
      </w:r>
    </w:p>
    <w:p>
      <w:pPr>
        <w:pBdr>
          <w:bottom w:val="single" w:color="DDDDDD" w:sz="4"/>
        </w:pBdr>
        <w:spacing w:after="200" w:before="200"/>
      </w:pPr>
      <w:r>
        <w:t xml:space="preserve"/>
      </w:r>
    </w:p>
    <w:p>
      <w:pPr>
        <w:pBdr>
          <w:bottom w:val="single" w:color="E85D04" w:sz="8"/>
        </w:pBdr>
        <w:spacing w:after="160" w:before="400"/>
      </w:pPr>
      <w:r>
        <w:rPr>
          <w:rFonts w:ascii="Calibri" w:cs="Calibri" w:eastAsia="Calibri" w:hAnsi="Calibri"/>
          <w:b/>
          <w:bCs/>
          <w:color w:val="E85D04"/>
          <w:sz w:val="36"/>
          <w:szCs w:val="36"/>
        </w:rPr>
        <w:t xml:space="preserve">02  </w:t>
      </w:r>
      <w:r>
        <w:rPr>
          <w:rFonts w:ascii="Calibri" w:cs="Calibri" w:eastAsia="Calibri" w:hAnsi="Calibri"/>
          <w:b/>
          <w:bCs/>
          <w:color w:val="1A1A2E"/>
          <w:sz w:val="36"/>
          <w:szCs w:val="36"/>
        </w:rPr>
        <w:t xml:space="preserve">Problem Statement</w:t>
      </w:r>
    </w:p>
    <w:p>
      <w:pPr>
        <w:spacing w:after="100" w:before="100"/>
      </w:pPr>
      <w:r>
        <w:t xml:space="preserve"/>
      </w:r>
    </w:p>
    <w:p>
      <w:pPr>
        <w:spacing w:after="80" w:before="80"/>
      </w:pPr>
      <w:r>
        <w:rPr>
          <w:rFonts w:ascii="Calibri" w:cs="Calibri" w:eastAsia="Calibri" w:hAnsi="Calibri"/>
          <w:i w:val="false"/>
          <w:iCs w:val="false"/>
          <w:color w:val="1A1A2E"/>
          <w:sz w:val="22"/>
          <w:szCs w:val="22"/>
        </w:rPr>
        <w:t xml:space="preserve">The cybersecurity tools landscape has a critical blind spot: everything is built for attackers, experts, and Linux — leaving defenders, students, and Windows users completely behind.</w:t>
      </w:r>
    </w:p>
    <w:p>
      <w:pPr>
        <w:spacing w:after="100" w:before="100"/>
      </w:pPr>
      <w:r>
        <w:t xml:space="preserve"/>
      </w:r>
    </w:p>
    <w:p>
      <w:pPr>
        <w:spacing w:after="80" w:before="80"/>
        <w:ind w:left="400"/>
      </w:pPr>
      <w:r>
        <w:rPr>
          <w:rFonts w:ascii="Calibri" w:cs="Calibri" w:eastAsia="Calibri" w:hAnsi="Calibri"/>
          <w:b/>
          <w:bCs/>
          <w:color w:val="1A1A2E"/>
          <w:sz w:val="22"/>
          <w:szCs w:val="22"/>
        </w:rPr>
        <w:t xml:space="preserve">•  Problem: </w:t>
      </w:r>
      <w:r>
        <w:rPr>
          <w:rFonts w:ascii="Calibri" w:cs="Calibri" w:eastAsia="Calibri" w:hAnsi="Calibri"/>
          <w:color w:val="1A1A2E"/>
          <w:sz w:val="22"/>
          <w:szCs w:val="22"/>
        </w:rPr>
        <w:t xml:space="preserve">Security teams and students cannot make sense of raw tool outputs (Nmap, Event Logs, CVE data) without deep expertise — and no affordable AI tool exists to bridge that gap for defenders.</w:t>
      </w:r>
    </w:p>
    <w:p>
      <w:pPr>
        <w:spacing w:after="80" w:before="80"/>
        <w:ind w:left="400"/>
      </w:pPr>
      <w:r>
        <w:rPr>
          <w:rFonts w:ascii="Calibri" w:cs="Calibri" w:eastAsia="Calibri" w:hAnsi="Calibri"/>
          <w:b/>
          <w:bCs/>
          <w:color w:val="1A1A2E"/>
          <w:sz w:val="22"/>
          <w:szCs w:val="22"/>
        </w:rPr>
        <w:t xml:space="preserve">•  Who feels this pain most: </w:t>
      </w:r>
      <w:r>
        <w:rPr>
          <w:rFonts w:ascii="Calibri" w:cs="Calibri" w:eastAsia="Calibri" w:hAnsi="Calibri"/>
          <w:color w:val="1A1A2E"/>
          <w:sz w:val="22"/>
          <w:szCs w:val="22"/>
        </w:rPr>
        <w:t xml:space="preserve">Cybersecurity students studying for Security+/CEH, small business IT teams (1–5 people) with no dedicated analyst, and professionals spending hours manually writing reports.</w:t>
      </w:r>
    </w:p>
    <w:p>
      <w:pPr>
        <w:spacing w:after="100" w:before="100"/>
      </w:pPr>
      <w:r>
        <w:t xml:space="preserve"/>
      </w:r>
    </w:p>
    <w:p>
      <w:pPr>
        <w:spacing w:after="100" w:before="200"/>
      </w:pPr>
      <w:r>
        <w:rPr>
          <w:rFonts w:ascii="Calibri" w:cs="Calibri" w:eastAsia="Calibri" w:hAnsi="Calibri"/>
          <w:b/>
          <w:bCs/>
          <w:color w:val="1A1A2E"/>
          <w:sz w:val="26"/>
          <w:szCs w:val="26"/>
        </w:rPr>
        <w:t xml:space="preserve">Evidence &amp; Proof Points</w:t>
      </w:r>
    </w:p>
    <w:p>
      <w:pPr>
        <w:spacing w:after="80" w:before="80"/>
        <w:ind w:left="400"/>
      </w:pPr>
      <w:r>
        <w:rPr>
          <w:rFonts w:ascii="Calibri" w:cs="Calibri" w:eastAsia="Calibri" w:hAnsi="Calibri"/>
          <w:color w:val="1A1A2E"/>
          <w:sz w:val="22"/>
          <w:szCs w:val="22"/>
        </w:rPr>
        <w:t xml:space="preserve">•  4 million+ cybersecurity jobs remain unfilled globally due to the expertise gap</w:t>
      </w:r>
    </w:p>
    <w:p>
      <w:pPr>
        <w:spacing w:after="80" w:before="80"/>
        <w:ind w:left="400"/>
      </w:pPr>
      <w:r>
        <w:rPr>
          <w:rFonts w:ascii="Calibri" w:cs="Calibri" w:eastAsia="Calibri" w:hAnsi="Calibri"/>
          <w:color w:val="1A1A2E"/>
          <w:sz w:val="22"/>
          <w:szCs w:val="22"/>
        </w:rPr>
        <w:t xml:space="preserve">•  Microsoft alone processes 84 trillion security signals per day — alert fatigue is real and widespread</w:t>
      </w:r>
    </w:p>
    <w:p>
      <w:pPr>
        <w:spacing w:after="80" w:before="80"/>
        <w:ind w:left="400"/>
      </w:pPr>
      <w:r>
        <w:rPr>
          <w:rFonts w:ascii="Calibri" w:cs="Calibri" w:eastAsia="Calibri" w:hAnsi="Calibri"/>
          <w:color w:val="1A1A2E"/>
          <w:sz w:val="22"/>
          <w:szCs w:val="22"/>
        </w:rPr>
        <w:t xml:space="preserve">•  70+ new AI security tools released in 18 months — yet every single open-source one is offensive-only and Linux-only</w:t>
      </w:r>
    </w:p>
    <w:p>
      <w:pPr>
        <w:spacing w:after="80" w:before="80"/>
        <w:ind w:left="400"/>
      </w:pPr>
      <w:r>
        <w:rPr>
          <w:rFonts w:ascii="Calibri" w:cs="Calibri" w:eastAsia="Calibri" w:hAnsi="Calibri"/>
          <w:color w:val="1A1A2E"/>
          <w:sz w:val="22"/>
          <w:szCs w:val="22"/>
        </w:rPr>
        <w:t xml:space="preserve">•  Microsoft Security Copilot costs ~$57/user/month with an E5 enterprise license — completely inaccessible to students and SMBs</w:t>
      </w:r>
    </w:p>
    <w:p>
      <w:pPr>
        <w:spacing w:after="80" w:before="80"/>
        <w:ind w:left="400"/>
      </w:pPr>
      <w:r>
        <w:rPr>
          <w:rFonts w:ascii="Calibri" w:cs="Calibri" w:eastAsia="Calibri" w:hAnsi="Calibri"/>
          <w:color w:val="1A1A2E"/>
          <w:sz w:val="22"/>
          <w:szCs w:val="22"/>
        </w:rPr>
        <w:t xml:space="preserve">•  The global cybersecurity market is on track to exceed $300 billion by 2027 — the defensive/educational segment is heavily underserved</w:t>
      </w:r>
    </w:p>
    <w:p>
      <w:pPr>
        <w:spacing w:after="100" w:before="100"/>
      </w:pPr>
      <w:r>
        <w:t xml:space="preserve"/>
      </w:r>
    </w:p>
    <w:p>
      <w:pPr>
        <w:pBdr>
          <w:bottom w:val="single" w:color="DDDDDD" w:sz="4"/>
        </w:pBdr>
        <w:spacing w:after="200" w:before="200"/>
      </w:pPr>
      <w:r>
        <w:t xml:space="preserve"/>
      </w:r>
    </w:p>
    <w:p>
      <w:pPr>
        <w:pBdr>
          <w:bottom w:val="single" w:color="E85D04" w:sz="8"/>
        </w:pBdr>
        <w:spacing w:after="160" w:before="400"/>
      </w:pPr>
      <w:r>
        <w:rPr>
          <w:rFonts w:ascii="Calibri" w:cs="Calibri" w:eastAsia="Calibri" w:hAnsi="Calibri"/>
          <w:b/>
          <w:bCs/>
          <w:color w:val="E85D04"/>
          <w:sz w:val="36"/>
          <w:szCs w:val="36"/>
        </w:rPr>
        <w:t xml:space="preserve">03  </w:t>
      </w:r>
      <w:r>
        <w:rPr>
          <w:rFonts w:ascii="Calibri" w:cs="Calibri" w:eastAsia="Calibri" w:hAnsi="Calibri"/>
          <w:b/>
          <w:bCs/>
          <w:color w:val="1A1A2E"/>
          <w:sz w:val="36"/>
          <w:szCs w:val="36"/>
        </w:rPr>
        <w:t xml:space="preserve">Target User</w:t>
      </w:r>
    </w:p>
    <w:p>
      <w:pPr>
        <w:spacing w:after="100" w:before="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none" w:color="FFFFFF" w:sz="0"/>
              <w:left w:val="none" w:color="FFFFFF" w:sz="0"/>
              <w:bottom w:val="none" w:color="FFFFFF" w:sz="0"/>
              <w:right w:val="single" w:color="333333" w:sz="4"/>
            </w:tcBorders>
            <w:shd w:fill="1A1A2E" w:val="clear"/>
            <w:tcMar>
              <w:top w:type="dxa" w:w="100"/>
              <w:left w:type="dxa" w:w="160"/>
              <w:bottom w:type="dxa" w:w="100"/>
              <w:right w:type="dxa" w:w="160"/>
            </w:tcMar>
          </w:tcPr>
          <w:p>
            <w:r>
              <w:rPr>
                <w:rFonts w:ascii="Calibri" w:cs="Calibri" w:eastAsia="Calibri" w:hAnsi="Calibri"/>
                <w:b/>
                <w:bCs/>
                <w:color w:val="FFFFFF"/>
                <w:sz w:val="20"/>
                <w:szCs w:val="20"/>
              </w:rPr>
              <w:t xml:space="preserve">Field</w:t>
            </w:r>
          </w:p>
        </w:tc>
        <w:tc>
          <w:tcPr>
            <w:tcW w:type="dxa" w:w="7000"/>
            <w:tcBorders>
              <w:top w:val="none" w:color="FFFFFF" w:sz="0"/>
              <w:left w:val="none" w:color="FFFFFF" w:sz="0"/>
              <w:bottom w:val="none" w:color="FFFFFF" w:sz="0"/>
              <w:right w:val="single" w:color="333333" w:sz="4"/>
            </w:tcBorders>
            <w:shd w:fill="1A1A2E" w:val="clear"/>
            <w:tcMar>
              <w:top w:type="dxa" w:w="100"/>
              <w:left w:type="dxa" w:w="160"/>
              <w:bottom w:type="dxa" w:w="100"/>
              <w:right w:type="dxa" w:w="160"/>
            </w:tcMar>
          </w:tcPr>
          <w:p>
            <w:r>
              <w:rPr>
                <w:rFonts w:ascii="Calibri" w:cs="Calibri" w:eastAsia="Calibri" w:hAnsi="Calibri"/>
                <w:b/>
                <w:bCs/>
                <w:color w:val="FFFFFF"/>
                <w:sz w:val="20"/>
                <w:szCs w:val="20"/>
              </w:rPr>
              <w:t xml:space="preserve">Detail</w:t>
            </w:r>
          </w:p>
        </w:tc>
      </w:tr>
      <w:tr>
        <w:tc>
          <w:tcPr>
            <w:tcW w:type="dxa" w:w="22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Primary User</w:t>
            </w:r>
          </w:p>
        </w:tc>
        <w:tc>
          <w:tcPr>
            <w:tcW w:type="dxa" w:w="70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Cybersecurity students (undergraduate, self-taught, bootcamp learners)</w:t>
            </w:r>
          </w:p>
        </w:tc>
      </w:tr>
      <w:tr>
        <w:tc>
          <w:tcPr>
            <w:tcW w:type="dxa" w:w="22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Their Context</w:t>
            </w:r>
          </w:p>
        </w:tc>
        <w:tc>
          <w:tcPr>
            <w:tcW w:type="dxa" w:w="70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Studying Security+, CEH, or university cybersecurity programs; practicing on HackTheBox, TryHackMe, college labs</w:t>
            </w:r>
          </w:p>
        </w:tc>
      </w:tr>
      <w:tr>
        <w:tc>
          <w:tcPr>
            <w:tcW w:type="dxa" w:w="22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Their Pain</w:t>
            </w:r>
          </w:p>
        </w:tc>
        <w:tc>
          <w:tcPr>
            <w:tcW w:type="dxa" w:w="70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Raw tool outputs are cryptic; no budget for enterprise tools; need to learn by doing, not just reading</w:t>
            </w:r>
          </w:p>
        </w:tc>
      </w:tr>
      <w:tr>
        <w:tc>
          <w:tcPr>
            <w:tcW w:type="dxa" w:w="22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Current Workaround</w:t>
            </w:r>
          </w:p>
        </w:tc>
        <w:tc>
          <w:tcPr>
            <w:tcW w:type="dxa" w:w="70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Manually Googling scan output, copy-pasting into ChatGPT, writing reports from scratch</w:t>
            </w:r>
          </w:p>
        </w:tc>
      </w:tr>
      <w:tr>
        <w:tc>
          <w:tcPr>
            <w:tcW w:type="dxa" w:w="22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Who We Are NOT Building For (Yet)</w:t>
            </w:r>
          </w:p>
        </w:tc>
        <w:tc>
          <w:tcPr>
            <w:tcW w:type="dxa" w:w="70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Large enterprise SOC teams, government/military security ops, offensive red team professionals</w:t>
            </w:r>
          </w:p>
        </w:tc>
      </w:tr>
    </w:tbl>
    <w:p>
      <w:pPr>
        <w:spacing w:after="100" w:before="100"/>
      </w:pPr>
      <w:r>
        <w:t xml:space="preserve"/>
      </w:r>
    </w:p>
    <w:p>
      <w:pPr>
        <w:pBdr>
          <w:bottom w:val="single" w:color="DDDDDD" w:sz="4"/>
        </w:pBdr>
        <w:spacing w:after="200" w:before="200"/>
      </w:pPr>
      <w:r>
        <w:t xml:space="preserve"/>
      </w:r>
    </w:p>
    <w:p>
      <w:pPr>
        <w:pBdr>
          <w:bottom w:val="single" w:color="E85D04" w:sz="8"/>
        </w:pBdr>
        <w:spacing w:after="160" w:before="400"/>
      </w:pPr>
      <w:r>
        <w:rPr>
          <w:rFonts w:ascii="Calibri" w:cs="Calibri" w:eastAsia="Calibri" w:hAnsi="Calibri"/>
          <w:b/>
          <w:bCs/>
          <w:color w:val="E85D04"/>
          <w:sz w:val="36"/>
          <w:szCs w:val="36"/>
        </w:rPr>
        <w:t xml:space="preserve">04  </w:t>
      </w:r>
      <w:r>
        <w:rPr>
          <w:rFonts w:ascii="Calibri" w:cs="Calibri" w:eastAsia="Calibri" w:hAnsi="Calibri"/>
          <w:b/>
          <w:bCs/>
          <w:color w:val="1A1A2E"/>
          <w:sz w:val="36"/>
          <w:szCs w:val="36"/>
        </w:rPr>
        <w:t xml:space="preserve">Value Proposition</w:t>
      </w:r>
    </w:p>
    <w:p>
      <w:pPr>
        <w:spacing w:after="100" w:before="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00"/>
            <w:tcBorders>
              <w:top w:val="none" w:color="FFFFFF" w:sz="0"/>
              <w:left w:val="none" w:color="FFFFFF" w:sz="0"/>
              <w:bottom w:val="none" w:color="FFFFFF" w:sz="0"/>
              <w:right w:val="single" w:color="333333" w:sz="4"/>
            </w:tcBorders>
            <w:shd w:fill="1A1A2E" w:val="clear"/>
            <w:tcMar>
              <w:top w:type="dxa" w:w="100"/>
              <w:left w:type="dxa" w:w="160"/>
              <w:bottom w:type="dxa" w:w="100"/>
              <w:right w:type="dxa" w:w="160"/>
            </w:tcMar>
          </w:tcPr>
          <w:p>
            <w:r>
              <w:rPr>
                <w:rFonts w:ascii="Calibri" w:cs="Calibri" w:eastAsia="Calibri" w:hAnsi="Calibri"/>
                <w:b/>
                <w:bCs/>
                <w:color w:val="FFFFFF"/>
                <w:sz w:val="20"/>
                <w:szCs w:val="20"/>
              </w:rPr>
              <w:t xml:space="preserve">Before (Today)</w:t>
            </w:r>
          </w:p>
        </w:tc>
        <w:tc>
          <w:tcPr>
            <w:tcW w:type="dxa" w:w="4600"/>
            <w:tcBorders>
              <w:top w:val="none" w:color="FFFFFF" w:sz="0"/>
              <w:left w:val="none" w:color="FFFFFF" w:sz="0"/>
              <w:bottom w:val="none" w:color="FFFFFF" w:sz="0"/>
              <w:right w:val="single" w:color="333333" w:sz="4"/>
            </w:tcBorders>
            <w:shd w:fill="1A1A2E" w:val="clear"/>
            <w:tcMar>
              <w:top w:type="dxa" w:w="100"/>
              <w:left w:type="dxa" w:w="160"/>
              <w:bottom w:type="dxa" w:w="100"/>
              <w:right w:type="dxa" w:w="160"/>
            </w:tcMar>
          </w:tcPr>
          <w:p>
            <w:r>
              <w:rPr>
                <w:rFonts w:ascii="Calibri" w:cs="Calibri" w:eastAsia="Calibri" w:hAnsi="Calibri"/>
                <w:b/>
                <w:bCs/>
                <w:color w:val="FFFFFF"/>
                <w:sz w:val="20"/>
                <w:szCs w:val="20"/>
              </w:rPr>
              <w:t xml:space="preserve">After (With SentinelAI CLI)</w:t>
            </w:r>
          </w:p>
        </w:tc>
      </w:tr>
      <w:tr>
        <w:tc>
          <w:tcPr>
            <w:tcW w:type="dxa" w:w="46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Student runs Nmap scan — gets raw cryptic port/service output</w:t>
            </w:r>
          </w:p>
        </w:tc>
        <w:tc>
          <w:tcPr>
            <w:tcW w:type="dxa" w:w="46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SentinelAI explains what every finding means in plain English</w:t>
            </w:r>
          </w:p>
        </w:tc>
      </w:tr>
      <w:tr>
        <w:tc>
          <w:tcPr>
            <w:tcW w:type="dxa" w:w="46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Must manually cross-reference MITRE ATT&amp;CK website for each threat</w:t>
            </w:r>
          </w:p>
        </w:tc>
        <w:tc>
          <w:tcPr>
            <w:tcW w:type="dxa" w:w="46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Auto-mapped to MITRE ATT&amp;CK techniques and OWASP Top 10 in seconds</w:t>
            </w:r>
          </w:p>
        </w:tc>
      </w:tr>
      <w:tr>
        <w:tc>
          <w:tcPr>
            <w:tcW w:type="dxa" w:w="46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Spends 2–4 hours manually writing a security incident report</w:t>
            </w:r>
          </w:p>
        </w:tc>
        <w:tc>
          <w:tcPr>
            <w:tcW w:type="dxa" w:w="46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Professional DOCX/PDF/Markdown report generated automatically</w:t>
            </w:r>
          </w:p>
        </w:tc>
      </w:tr>
      <w:tr>
        <w:tc>
          <w:tcPr>
            <w:tcW w:type="dxa" w:w="46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No idea which vulnerability to fix first</w:t>
            </w:r>
          </w:p>
        </w:tc>
        <w:tc>
          <w:tcPr>
            <w:tcW w:type="dxa" w:w="46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Risk score and prioritized remediation steps provided instantly</w:t>
            </w:r>
          </w:p>
        </w:tc>
      </w:tr>
      <w:tr>
        <w:tc>
          <w:tcPr>
            <w:tcW w:type="dxa" w:w="46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Forced to use Linux — majority of AI security tools don't run on Windows</w:t>
            </w:r>
          </w:p>
        </w:tc>
        <w:tc>
          <w:tcPr>
            <w:tcW w:type="dxa" w:w="46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Runs natively on both Windows and Linux — no dual-boot needed</w:t>
            </w:r>
          </w:p>
        </w:tc>
      </w:tr>
      <w:tr>
        <w:tc>
          <w:tcPr>
            <w:tcW w:type="dxa" w:w="46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Pays $57+/user/month for enterprise tools or gets nothing useful for free</w:t>
            </w:r>
          </w:p>
        </w:tc>
        <w:tc>
          <w:tcPr>
            <w:tcW w:type="dxa" w:w="46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Free open-source core — accessible to every student globally</w:t>
            </w:r>
          </w:p>
        </w:tc>
      </w:tr>
    </w:tbl>
    <w:p>
      <w:pPr>
        <w:spacing w:after="100" w:before="100"/>
      </w:pPr>
      <w:r>
        <w:t xml:space="preserve"/>
      </w:r>
    </w:p>
    <w:p>
      <w:pPr>
        <w:pBdr>
          <w:bottom w:val="single" w:color="DDDDDD" w:sz="4"/>
        </w:pBdr>
        <w:spacing w:after="200" w:before="200"/>
      </w:pPr>
      <w:r>
        <w:t xml:space="preserve"/>
      </w:r>
    </w:p>
    <w:p>
      <w:pPr>
        <w:pBdr>
          <w:bottom w:val="single" w:color="E85D04" w:sz="8"/>
        </w:pBdr>
        <w:spacing w:after="160" w:before="400"/>
      </w:pPr>
      <w:r>
        <w:rPr>
          <w:rFonts w:ascii="Calibri" w:cs="Calibri" w:eastAsia="Calibri" w:hAnsi="Calibri"/>
          <w:b/>
          <w:bCs/>
          <w:color w:val="E85D04"/>
          <w:sz w:val="36"/>
          <w:szCs w:val="36"/>
        </w:rPr>
        <w:t xml:space="preserve">05  </w:t>
      </w:r>
      <w:r>
        <w:rPr>
          <w:rFonts w:ascii="Calibri" w:cs="Calibri" w:eastAsia="Calibri" w:hAnsi="Calibri"/>
          <w:b/>
          <w:bCs/>
          <w:color w:val="1A1A2E"/>
          <w:sz w:val="36"/>
          <w:szCs w:val="36"/>
        </w:rPr>
        <w:t xml:space="preserve">Differentiator</w:t>
      </w:r>
    </w:p>
    <w:p>
      <w:pPr>
        <w:spacing w:after="100" w:before="100"/>
      </w:pPr>
      <w:r>
        <w:t xml:space="preserve"/>
      </w:r>
    </w:p>
    <w:p>
      <w:pPr>
        <w:spacing w:after="100" w:before="200"/>
      </w:pPr>
      <w:r>
        <w:rPr>
          <w:rFonts w:ascii="Calibri" w:cs="Calibri" w:eastAsia="Calibri" w:hAnsi="Calibri"/>
          <w:b/>
          <w:bCs/>
          <w:color w:val="1A1A2E"/>
          <w:sz w:val="26"/>
          <w:szCs w:val="26"/>
        </w:rPr>
        <w:t xml:space="preserve">Existing Alternatives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800"/>
            <w:tcBorders>
              <w:top w:val="none" w:color="FFFFFF" w:sz="0"/>
              <w:left w:val="none" w:color="FFFFFF" w:sz="0"/>
              <w:bottom w:val="none" w:color="FFFFFF" w:sz="0"/>
              <w:right w:val="single" w:color="333333" w:sz="4"/>
            </w:tcBorders>
            <w:shd w:fill="1A1A2E" w:val="clear"/>
            <w:tcMar>
              <w:top w:type="dxa" w:w="100"/>
              <w:left w:type="dxa" w:w="160"/>
              <w:bottom w:type="dxa" w:w="100"/>
              <w:right w:type="dxa" w:w="160"/>
            </w:tcMar>
          </w:tcPr>
          <w:p>
            <w:r>
              <w:rPr>
                <w:rFonts w:ascii="Calibri" w:cs="Calibri" w:eastAsia="Calibri" w:hAnsi="Calibri"/>
                <w:b/>
                <w:bCs/>
                <w:color w:val="FFFFFF"/>
                <w:sz w:val="20"/>
                <w:szCs w:val="20"/>
              </w:rPr>
              <w:t xml:space="preserve">Tool</w:t>
            </w:r>
          </w:p>
        </w:tc>
        <w:tc>
          <w:tcPr>
            <w:tcW w:type="dxa" w:w="1400"/>
            <w:tcBorders>
              <w:top w:val="none" w:color="FFFFFF" w:sz="0"/>
              <w:left w:val="none" w:color="FFFFFF" w:sz="0"/>
              <w:bottom w:val="none" w:color="FFFFFF" w:sz="0"/>
              <w:right w:val="single" w:color="333333" w:sz="4"/>
            </w:tcBorders>
            <w:shd w:fill="1A1A2E" w:val="clear"/>
            <w:tcMar>
              <w:top w:type="dxa" w:w="100"/>
              <w:left w:type="dxa" w:w="160"/>
              <w:bottom w:type="dxa" w:w="100"/>
              <w:right w:type="dxa" w:w="160"/>
            </w:tcMar>
          </w:tcPr>
          <w:p>
            <w:r>
              <w:rPr>
                <w:rFonts w:ascii="Calibri" w:cs="Calibri" w:eastAsia="Calibri" w:hAnsi="Calibri"/>
                <w:b/>
                <w:bCs/>
                <w:color w:val="FFFFFF"/>
                <w:sz w:val="20"/>
                <w:szCs w:val="20"/>
              </w:rPr>
              <w:t xml:space="preserve">Platform</w:t>
            </w:r>
          </w:p>
        </w:tc>
        <w:tc>
          <w:tcPr>
            <w:tcW w:type="dxa" w:w="1500"/>
            <w:tcBorders>
              <w:top w:val="none" w:color="FFFFFF" w:sz="0"/>
              <w:left w:val="none" w:color="FFFFFF" w:sz="0"/>
              <w:bottom w:val="none" w:color="FFFFFF" w:sz="0"/>
              <w:right w:val="single" w:color="333333" w:sz="4"/>
            </w:tcBorders>
            <w:shd w:fill="1A1A2E" w:val="clear"/>
            <w:tcMar>
              <w:top w:type="dxa" w:w="100"/>
              <w:left w:type="dxa" w:w="160"/>
              <w:bottom w:type="dxa" w:w="100"/>
              <w:right w:type="dxa" w:w="160"/>
            </w:tcMar>
          </w:tcPr>
          <w:p>
            <w:r>
              <w:rPr>
                <w:rFonts w:ascii="Calibri" w:cs="Calibri" w:eastAsia="Calibri" w:hAnsi="Calibri"/>
                <w:b/>
                <w:bCs/>
                <w:color w:val="FFFFFF"/>
                <w:sz w:val="20"/>
                <w:szCs w:val="20"/>
              </w:rPr>
              <w:t xml:space="preserve">Offensive/Defensive</w:t>
            </w:r>
          </w:p>
        </w:tc>
        <w:tc>
          <w:tcPr>
            <w:tcW w:type="dxa" w:w="1300"/>
            <w:tcBorders>
              <w:top w:val="none" w:color="FFFFFF" w:sz="0"/>
              <w:left w:val="none" w:color="FFFFFF" w:sz="0"/>
              <w:bottom w:val="none" w:color="FFFFFF" w:sz="0"/>
              <w:right w:val="single" w:color="333333" w:sz="4"/>
            </w:tcBorders>
            <w:shd w:fill="1A1A2E" w:val="clear"/>
            <w:tcMar>
              <w:top w:type="dxa" w:w="100"/>
              <w:left w:type="dxa" w:w="160"/>
              <w:bottom w:type="dxa" w:w="100"/>
              <w:right w:type="dxa" w:w="160"/>
            </w:tcMar>
          </w:tcPr>
          <w:p>
            <w:r>
              <w:rPr>
                <w:rFonts w:ascii="Calibri" w:cs="Calibri" w:eastAsia="Calibri" w:hAnsi="Calibri"/>
                <w:b/>
                <w:bCs/>
                <w:color w:val="FFFFFF"/>
                <w:sz w:val="20"/>
                <w:szCs w:val="20"/>
              </w:rPr>
              <w:t xml:space="preserve">Beginner Mode</w:t>
            </w:r>
          </w:p>
        </w:tc>
        <w:tc>
          <w:tcPr>
            <w:tcW w:type="dxa" w:w="1300"/>
            <w:tcBorders>
              <w:top w:val="none" w:color="FFFFFF" w:sz="0"/>
              <w:left w:val="none" w:color="FFFFFF" w:sz="0"/>
              <w:bottom w:val="none" w:color="FFFFFF" w:sz="0"/>
              <w:right w:val="single" w:color="333333" w:sz="4"/>
            </w:tcBorders>
            <w:shd w:fill="1A1A2E" w:val="clear"/>
            <w:tcMar>
              <w:top w:type="dxa" w:w="100"/>
              <w:left w:type="dxa" w:w="160"/>
              <w:bottom w:type="dxa" w:w="100"/>
              <w:right w:type="dxa" w:w="160"/>
            </w:tcMar>
          </w:tcPr>
          <w:p>
            <w:r>
              <w:rPr>
                <w:rFonts w:ascii="Calibri" w:cs="Calibri" w:eastAsia="Calibri" w:hAnsi="Calibri"/>
                <w:b/>
                <w:bCs/>
                <w:color w:val="FFFFFF"/>
                <w:sz w:val="20"/>
                <w:szCs w:val="20"/>
              </w:rPr>
              <w:t xml:space="preserve">Report Gen</w:t>
            </w:r>
          </w:p>
        </w:tc>
        <w:tc>
          <w:tcPr>
            <w:tcW w:type="dxa" w:w="1900"/>
            <w:tcBorders>
              <w:top w:val="none" w:color="FFFFFF" w:sz="0"/>
              <w:left w:val="none" w:color="FFFFFF" w:sz="0"/>
              <w:bottom w:val="none" w:color="FFFFFF" w:sz="0"/>
              <w:right w:val="single" w:color="333333" w:sz="4"/>
            </w:tcBorders>
            <w:shd w:fill="1A1A2E" w:val="clear"/>
            <w:tcMar>
              <w:top w:type="dxa" w:w="100"/>
              <w:left w:type="dxa" w:w="160"/>
              <w:bottom w:type="dxa" w:w="100"/>
              <w:right w:type="dxa" w:w="160"/>
            </w:tcMar>
          </w:tcPr>
          <w:p>
            <w:r>
              <w:rPr>
                <w:rFonts w:ascii="Calibri" w:cs="Calibri" w:eastAsia="Calibri" w:hAnsi="Calibri"/>
                <w:b/>
                <w:bCs/>
                <w:color w:val="FFFFFF"/>
                <w:sz w:val="20"/>
                <w:szCs w:val="20"/>
              </w:rPr>
              <w:t xml:space="preserve">MITRE Mapping</w:t>
            </w:r>
          </w:p>
        </w:tc>
      </w:tr>
      <w:tr>
        <w:tc>
          <w:tcPr>
            <w:tcW w:type="dxa" w:w="18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Microsoft Security Copilot</w:t>
            </w:r>
          </w:p>
        </w:tc>
        <w:tc>
          <w:tcPr>
            <w:tcW w:type="dxa" w:w="14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Cloud only</w:t>
            </w:r>
          </w:p>
        </w:tc>
        <w:tc>
          <w:tcPr>
            <w:tcW w:type="dxa" w:w="15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Defensive</w:t>
            </w:r>
          </w:p>
        </w:tc>
        <w:tc>
          <w:tcPr>
            <w:tcW w:type="dxa" w:w="13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w:t>
            </w:r>
          </w:p>
        </w:tc>
        <w:tc>
          <w:tcPr>
            <w:tcW w:type="dxa" w:w="13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w:t>
            </w:r>
          </w:p>
        </w:tc>
        <w:tc>
          <w:tcPr>
            <w:tcW w:type="dxa" w:w="19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w:t>
            </w:r>
          </w:p>
        </w:tc>
      </w:tr>
      <w:tr>
        <w:tc>
          <w:tcPr>
            <w:tcW w:type="dxa" w:w="18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PentestGPT</w:t>
            </w:r>
          </w:p>
        </w:tc>
        <w:tc>
          <w:tcPr>
            <w:tcW w:type="dxa" w:w="14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Linux/Mac</w:t>
            </w:r>
          </w:p>
        </w:tc>
        <w:tc>
          <w:tcPr>
            <w:tcW w:type="dxa" w:w="15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Offensive only</w:t>
            </w:r>
          </w:p>
        </w:tc>
        <w:tc>
          <w:tcPr>
            <w:tcW w:type="dxa" w:w="13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 Partial</w:t>
            </w:r>
          </w:p>
        </w:tc>
        <w:tc>
          <w:tcPr>
            <w:tcW w:type="dxa" w:w="13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w:t>
            </w:r>
          </w:p>
        </w:tc>
        <w:tc>
          <w:tcPr>
            <w:tcW w:type="dxa" w:w="19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w:t>
            </w:r>
          </w:p>
        </w:tc>
      </w:tr>
      <w:tr>
        <w:tc>
          <w:tcPr>
            <w:tcW w:type="dxa" w:w="18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METATRON</w:t>
            </w:r>
          </w:p>
        </w:tc>
        <w:tc>
          <w:tcPr>
            <w:tcW w:type="dxa" w:w="14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Linux only</w:t>
            </w:r>
          </w:p>
        </w:tc>
        <w:tc>
          <w:tcPr>
            <w:tcW w:type="dxa" w:w="15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Offensive only</w:t>
            </w:r>
          </w:p>
        </w:tc>
        <w:tc>
          <w:tcPr>
            <w:tcW w:type="dxa" w:w="13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w:t>
            </w:r>
          </w:p>
        </w:tc>
        <w:tc>
          <w:tcPr>
            <w:tcW w:type="dxa" w:w="13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w:t>
            </w:r>
          </w:p>
        </w:tc>
        <w:tc>
          <w:tcPr>
            <w:tcW w:type="dxa" w:w="19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w:t>
            </w:r>
          </w:p>
        </w:tc>
      </w:tr>
      <w:tr>
        <w:tc>
          <w:tcPr>
            <w:tcW w:type="dxa" w:w="18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CAI</w:t>
            </w:r>
          </w:p>
        </w:tc>
        <w:tc>
          <w:tcPr>
            <w:tcW w:type="dxa" w:w="14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Linux only</w:t>
            </w:r>
          </w:p>
        </w:tc>
        <w:tc>
          <w:tcPr>
            <w:tcW w:type="dxa" w:w="15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Offensive only</w:t>
            </w:r>
          </w:p>
        </w:tc>
        <w:tc>
          <w:tcPr>
            <w:tcW w:type="dxa" w:w="13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w:t>
            </w:r>
          </w:p>
        </w:tc>
        <w:tc>
          <w:tcPr>
            <w:tcW w:type="dxa" w:w="13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w:t>
            </w:r>
          </w:p>
        </w:tc>
        <w:tc>
          <w:tcPr>
            <w:tcW w:type="dxa" w:w="19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w:t>
            </w:r>
          </w:p>
        </w:tc>
      </w:tr>
      <w:tr>
        <w:tc>
          <w:tcPr>
            <w:tcW w:type="dxa" w:w="18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PentAGI</w:t>
            </w:r>
          </w:p>
        </w:tc>
        <w:tc>
          <w:tcPr>
            <w:tcW w:type="dxa" w:w="14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Linux/Docker</w:t>
            </w:r>
          </w:p>
        </w:tc>
        <w:tc>
          <w:tcPr>
            <w:tcW w:type="dxa" w:w="15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Offensive only</w:t>
            </w:r>
          </w:p>
        </w:tc>
        <w:tc>
          <w:tcPr>
            <w:tcW w:type="dxa" w:w="13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w:t>
            </w:r>
          </w:p>
        </w:tc>
        <w:tc>
          <w:tcPr>
            <w:tcW w:type="dxa" w:w="13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w:t>
            </w:r>
          </w:p>
        </w:tc>
        <w:tc>
          <w:tcPr>
            <w:tcW w:type="dxa" w:w="19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w:t>
            </w:r>
          </w:p>
        </w:tc>
      </w:tr>
      <w:tr>
        <w:tc>
          <w:tcPr>
            <w:tcW w:type="dxa" w:w="18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SentinelAI CLI</w:t>
            </w:r>
          </w:p>
        </w:tc>
        <w:tc>
          <w:tcPr>
            <w:tcW w:type="dxa" w:w="14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Windows + Linux</w:t>
            </w:r>
          </w:p>
        </w:tc>
        <w:tc>
          <w:tcPr>
            <w:tcW w:type="dxa" w:w="15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 Defensive first</w:t>
            </w:r>
          </w:p>
        </w:tc>
        <w:tc>
          <w:tcPr>
            <w:tcW w:type="dxa" w:w="13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 Core feature</w:t>
            </w:r>
          </w:p>
        </w:tc>
        <w:tc>
          <w:tcPr>
            <w:tcW w:type="dxa" w:w="13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 DOCX/PDF/MD</w:t>
            </w:r>
          </w:p>
        </w:tc>
        <w:tc>
          <w:tcPr>
            <w:tcW w:type="dxa" w:w="19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 Auto-mapped</w:t>
            </w:r>
          </w:p>
        </w:tc>
      </w:tr>
    </w:tbl>
    <w:p>
      <w:pPr>
        <w:spacing w:after="100" w:before="100"/>
      </w:pPr>
      <w:r>
        <w:t xml:space="preserve"/>
      </w:r>
    </w:p>
    <w:p>
      <w:pPr>
        <w:spacing w:after="100" w:before="200"/>
      </w:pPr>
      <w:r>
        <w:rPr>
          <w:rFonts w:ascii="Calibri" w:cs="Calibri" w:eastAsia="Calibri" w:hAnsi="Calibri"/>
          <w:b/>
          <w:bCs/>
          <w:color w:val="1A1A2E"/>
          <w:sz w:val="26"/>
          <w:szCs w:val="26"/>
        </w:rPr>
        <w:t xml:space="preserve">Why They Fall Short</w:t>
      </w:r>
    </w:p>
    <w:p>
      <w:pPr>
        <w:spacing w:after="80" w:before="80"/>
        <w:ind w:left="400"/>
      </w:pPr>
      <w:r>
        <w:rPr>
          <w:rFonts w:ascii="Calibri" w:cs="Calibri" w:eastAsia="Calibri" w:hAnsi="Calibri"/>
          <w:color w:val="1A1A2E"/>
          <w:sz w:val="22"/>
          <w:szCs w:val="22"/>
        </w:rPr>
        <w:t xml:space="preserve">•  Every open-source AI security tool is Linux-only — ignoring the majority of student and SMB environments that run Windows</w:t>
      </w:r>
    </w:p>
    <w:p>
      <w:pPr>
        <w:spacing w:after="80" w:before="80"/>
        <w:ind w:left="400"/>
      </w:pPr>
      <w:r>
        <w:rPr>
          <w:rFonts w:ascii="Calibri" w:cs="Calibri" w:eastAsia="Calibri" w:hAnsi="Calibri"/>
          <w:color w:val="1A1A2E"/>
          <w:sz w:val="22"/>
          <w:szCs w:val="22"/>
        </w:rPr>
        <w:t xml:space="preserve">•  All are offensive-first — built to help attackers break systems, not help defenders understand and protect them</w:t>
      </w:r>
    </w:p>
    <w:p>
      <w:pPr>
        <w:spacing w:after="80" w:before="80"/>
        <w:ind w:left="400"/>
      </w:pPr>
      <w:r>
        <w:rPr>
          <w:rFonts w:ascii="Calibri" w:cs="Calibri" w:eastAsia="Calibri" w:hAnsi="Calibri"/>
          <w:color w:val="1A1A2E"/>
          <w:sz w:val="22"/>
          <w:szCs w:val="22"/>
        </w:rPr>
        <w:t xml:space="preserve">•  None include beginner-friendly explanations — raw output is useless without deep expertise to interpret it</w:t>
      </w:r>
    </w:p>
    <w:p>
      <w:pPr>
        <w:spacing w:after="80" w:before="80"/>
        <w:ind w:left="400"/>
      </w:pPr>
      <w:r>
        <w:rPr>
          <w:rFonts w:ascii="Calibri" w:cs="Calibri" w:eastAsia="Calibri" w:hAnsi="Calibri"/>
          <w:color w:val="1A1A2E"/>
          <w:sz w:val="22"/>
          <w:szCs w:val="22"/>
        </w:rPr>
        <w:t xml:space="preserve">•  Enterprise tools like Microsoft Security Copilot are priced out of reach for students and small teams</w:t>
      </w:r>
    </w:p>
    <w:p>
      <w:pPr>
        <w:spacing w:after="100" w:before="100"/>
      </w:pPr>
      <w:r>
        <w:t xml:space="preserve"/>
      </w:r>
    </w:p>
    <w:p>
      <w:pPr>
        <w:spacing w:after="100" w:before="200"/>
      </w:pPr>
      <w:r>
        <w:rPr>
          <w:rFonts w:ascii="Calibri" w:cs="Calibri" w:eastAsia="Calibri" w:hAnsi="Calibri"/>
          <w:b/>
          <w:bCs/>
          <w:color w:val="1A1A2E"/>
          <w:sz w:val="26"/>
          <w:szCs w:val="26"/>
        </w:rPr>
        <w:t xml:space="preserve">Our Unique Advantage</w:t>
      </w:r>
    </w:p>
    <w:p>
      <w:pPr>
        <w:spacing w:after="80" w:before="80"/>
        <w:ind w:left="400"/>
      </w:pPr>
      <w:r>
        <w:rPr>
          <w:rFonts w:ascii="Calibri" w:cs="Calibri" w:eastAsia="Calibri" w:hAnsi="Calibri"/>
          <w:color w:val="1A1A2E"/>
          <w:sz w:val="22"/>
          <w:szCs w:val="22"/>
        </w:rPr>
        <w:t xml:space="preserve">•  Only tool combining defensive focus + Windows support + plain English + MITRE/OWASP mapping + auto report generation</w:t>
      </w:r>
    </w:p>
    <w:p>
      <w:pPr>
        <w:spacing w:after="80" w:before="80"/>
        <w:ind w:left="400"/>
      </w:pPr>
      <w:r>
        <w:rPr>
          <w:rFonts w:ascii="Calibri" w:cs="Calibri" w:eastAsia="Calibri" w:hAnsi="Calibri"/>
          <w:color w:val="1A1A2E"/>
          <w:sz w:val="22"/>
          <w:szCs w:val="22"/>
        </w:rPr>
        <w:t xml:space="preserve">•  Open-source — distributed freely without restrictions, no legal/ethical constraints unlike offensive tools</w:t>
      </w:r>
    </w:p>
    <w:p>
      <w:pPr>
        <w:spacing w:after="80" w:before="80"/>
        <w:ind w:left="400"/>
      </w:pPr>
      <w:r>
        <w:rPr>
          <w:rFonts w:ascii="Calibri" w:cs="Calibri" w:eastAsia="Calibri" w:hAnsi="Calibri"/>
          <w:color w:val="1A1A2E"/>
          <w:sz w:val="22"/>
          <w:szCs w:val="22"/>
        </w:rPr>
        <w:t xml:space="preserve">•  Privacy-first — local Ollama LLM support means security data never has to leave the user's machine</w:t>
      </w:r>
    </w:p>
    <w:p>
      <w:pPr>
        <w:spacing w:after="80" w:before="80"/>
        <w:ind w:left="400"/>
      </w:pPr>
      <w:r>
        <w:rPr>
          <w:rFonts w:ascii="Calibri" w:cs="Calibri" w:eastAsia="Calibri" w:hAnsi="Calibri"/>
          <w:color w:val="1A1A2E"/>
          <w:sz w:val="22"/>
          <w:szCs w:val="22"/>
        </w:rPr>
        <w:t xml:space="preserve">•  Human-in-the-loop safety model — no blind command execution, every action requires approval</w:t>
      </w:r>
    </w:p>
    <w:p>
      <w:pPr>
        <w:spacing w:after="100" w:before="100"/>
      </w:pPr>
      <w:r>
        <w:t xml:space="preserve"/>
      </w:r>
    </w:p>
    <w:p>
      <w:pPr>
        <w:pBdr>
          <w:bottom w:val="single" w:color="DDDDDD" w:sz="4"/>
        </w:pBdr>
        <w:spacing w:after="200" w:before="200"/>
      </w:pPr>
      <w:r>
        <w:t xml:space="preserve"/>
      </w:r>
    </w:p>
    <w:p>
      <w:pPr>
        <w:pBdr>
          <w:bottom w:val="single" w:color="E85D04" w:sz="8"/>
        </w:pBdr>
        <w:spacing w:after="160" w:before="400"/>
      </w:pPr>
      <w:r>
        <w:rPr>
          <w:rFonts w:ascii="Calibri" w:cs="Calibri" w:eastAsia="Calibri" w:hAnsi="Calibri"/>
          <w:b/>
          <w:bCs/>
          <w:color w:val="E85D04"/>
          <w:sz w:val="36"/>
          <w:szCs w:val="36"/>
        </w:rPr>
        <w:t xml:space="preserve">06  </w:t>
      </w:r>
      <w:r>
        <w:rPr>
          <w:rFonts w:ascii="Calibri" w:cs="Calibri" w:eastAsia="Calibri" w:hAnsi="Calibri"/>
          <w:b/>
          <w:bCs/>
          <w:color w:val="1A1A2E"/>
          <w:sz w:val="36"/>
          <w:szCs w:val="36"/>
        </w:rPr>
        <w:t xml:space="preserve">Tech Stack</w:t>
      </w:r>
    </w:p>
    <w:p>
      <w:pPr>
        <w:spacing w:after="100" w:before="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none" w:color="FFFFFF" w:sz="0"/>
              <w:left w:val="none" w:color="FFFFFF" w:sz="0"/>
              <w:bottom w:val="none" w:color="FFFFFF" w:sz="0"/>
              <w:right w:val="single" w:color="333333" w:sz="4"/>
            </w:tcBorders>
            <w:shd w:fill="1A1A2E" w:val="clear"/>
            <w:tcMar>
              <w:top w:type="dxa" w:w="100"/>
              <w:left w:type="dxa" w:w="160"/>
              <w:bottom w:type="dxa" w:w="100"/>
              <w:right w:type="dxa" w:w="160"/>
            </w:tcMar>
          </w:tcPr>
          <w:p>
            <w:r>
              <w:rPr>
                <w:rFonts w:ascii="Calibri" w:cs="Calibri" w:eastAsia="Calibri" w:hAnsi="Calibri"/>
                <w:b/>
                <w:bCs/>
                <w:color w:val="FFFFFF"/>
                <w:sz w:val="20"/>
                <w:szCs w:val="20"/>
              </w:rPr>
              <w:t xml:space="preserve">Layer</w:t>
            </w:r>
          </w:p>
        </w:tc>
        <w:tc>
          <w:tcPr>
            <w:tcW w:type="dxa" w:w="3000"/>
            <w:tcBorders>
              <w:top w:val="none" w:color="FFFFFF" w:sz="0"/>
              <w:left w:val="none" w:color="FFFFFF" w:sz="0"/>
              <w:bottom w:val="none" w:color="FFFFFF" w:sz="0"/>
              <w:right w:val="single" w:color="333333" w:sz="4"/>
            </w:tcBorders>
            <w:shd w:fill="1A1A2E" w:val="clear"/>
            <w:tcMar>
              <w:top w:type="dxa" w:w="100"/>
              <w:left w:type="dxa" w:w="160"/>
              <w:bottom w:type="dxa" w:w="100"/>
              <w:right w:type="dxa" w:w="160"/>
            </w:tcMar>
          </w:tcPr>
          <w:p>
            <w:r>
              <w:rPr>
                <w:rFonts w:ascii="Calibri" w:cs="Calibri" w:eastAsia="Calibri" w:hAnsi="Calibri"/>
                <w:b/>
                <w:bCs/>
                <w:color w:val="FFFFFF"/>
                <w:sz w:val="20"/>
                <w:szCs w:val="20"/>
              </w:rPr>
              <w:t xml:space="preserve">Technology</w:t>
            </w:r>
          </w:p>
        </w:tc>
        <w:tc>
          <w:tcPr>
            <w:tcW w:type="dxa" w:w="4200"/>
            <w:tcBorders>
              <w:top w:val="none" w:color="FFFFFF" w:sz="0"/>
              <w:left w:val="none" w:color="FFFFFF" w:sz="0"/>
              <w:bottom w:val="none" w:color="FFFFFF" w:sz="0"/>
              <w:right w:val="single" w:color="333333" w:sz="4"/>
            </w:tcBorders>
            <w:shd w:fill="1A1A2E" w:val="clear"/>
            <w:tcMar>
              <w:top w:type="dxa" w:w="100"/>
              <w:left w:type="dxa" w:w="160"/>
              <w:bottom w:type="dxa" w:w="100"/>
              <w:right w:type="dxa" w:w="160"/>
            </w:tcMar>
          </w:tcPr>
          <w:p>
            <w:r>
              <w:rPr>
                <w:rFonts w:ascii="Calibri" w:cs="Calibri" w:eastAsia="Calibri" w:hAnsi="Calibri"/>
                <w:b/>
                <w:bCs/>
                <w:color w:val="FFFFFF"/>
                <w:sz w:val="20"/>
                <w:szCs w:val="20"/>
              </w:rPr>
              <w:t xml:space="preserve">Purpose</w:t>
            </w:r>
          </w:p>
        </w:tc>
      </w:tr>
      <w:tr>
        <w:tc>
          <w:tcPr>
            <w:tcW w:type="dxa" w:w="20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Language</w:t>
            </w:r>
          </w:p>
        </w:tc>
        <w:tc>
          <w:tcPr>
            <w:tcW w:type="dxa" w:w="30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Python 3.11+</w:t>
            </w:r>
          </w:p>
        </w:tc>
        <w:tc>
          <w:tcPr>
            <w:tcW w:type="dxa" w:w="42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Primary language — most widely used in cybersecurity tooling</w:t>
            </w:r>
          </w:p>
        </w:tc>
      </w:tr>
      <w:tr>
        <w:tc>
          <w:tcPr>
            <w:tcW w:type="dxa" w:w="20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CLI Framework</w:t>
            </w:r>
          </w:p>
        </w:tc>
        <w:tc>
          <w:tcPr>
            <w:tcW w:type="dxa" w:w="30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Click + Rich</w:t>
            </w:r>
          </w:p>
        </w:tc>
        <w:tc>
          <w:tcPr>
            <w:tcW w:type="dxa" w:w="42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Command-line argument parsing and beautiful colored terminal output</w:t>
            </w:r>
          </w:p>
        </w:tc>
      </w:tr>
      <w:tr>
        <w:tc>
          <w:tcPr>
            <w:tcW w:type="dxa" w:w="20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AI / LLM</w:t>
            </w:r>
          </w:p>
        </w:tc>
        <w:tc>
          <w:tcPr>
            <w:tcW w:type="dxa" w:w="30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OpenAI API, Claude API, Gemini API</w:t>
            </w:r>
          </w:p>
        </w:tc>
        <w:tc>
          <w:tcPr>
            <w:tcW w:type="dxa" w:w="42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Cloud LLM options for AI-powered analysis</w:t>
            </w:r>
          </w:p>
        </w:tc>
      </w:tr>
      <w:tr>
        <w:tc>
          <w:tcPr>
            <w:tcW w:type="dxa" w:w="20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Local AI</w:t>
            </w:r>
          </w:p>
        </w:tc>
        <w:tc>
          <w:tcPr>
            <w:tcW w:type="dxa" w:w="30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Ollama (Llama 3, Mistral)</w:t>
            </w:r>
          </w:p>
        </w:tc>
        <w:tc>
          <w:tcPr>
            <w:tcW w:type="dxa" w:w="42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Offline/privacy mode — no data leaves the machine</w:t>
            </w:r>
          </w:p>
        </w:tc>
      </w:tr>
      <w:tr>
        <w:tc>
          <w:tcPr>
            <w:tcW w:type="dxa" w:w="20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Scanning</w:t>
            </w:r>
          </w:p>
        </w:tc>
        <w:tc>
          <w:tcPr>
            <w:tcW w:type="dxa" w:w="30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python-nmap, subprocess</w:t>
            </w:r>
          </w:p>
        </w:tc>
        <w:tc>
          <w:tcPr>
            <w:tcW w:type="dxa" w:w="42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Network scanning and security tool orchestration</w:t>
            </w:r>
          </w:p>
        </w:tc>
      </w:tr>
      <w:tr>
        <w:tc>
          <w:tcPr>
            <w:tcW w:type="dxa" w:w="20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Log Analysis</w:t>
            </w:r>
          </w:p>
        </w:tc>
        <w:tc>
          <w:tcPr>
            <w:tcW w:type="dxa" w:w="30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Windows Event Log API, Python xml parser</w:t>
            </w:r>
          </w:p>
        </w:tc>
        <w:tc>
          <w:tcPr>
            <w:tcW w:type="dxa" w:w="42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Windows Event Log ingestion and parsing</w:t>
            </w:r>
          </w:p>
        </w:tc>
      </w:tr>
      <w:tr>
        <w:tc>
          <w:tcPr>
            <w:tcW w:type="dxa" w:w="20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Framework Mapping</w:t>
            </w:r>
          </w:p>
        </w:tc>
        <w:tc>
          <w:tcPr>
            <w:tcW w:type="dxa" w:w="30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MITRE ATT&amp;CK STIX/JSON, OWASP Top 10 JSON</w:t>
            </w:r>
          </w:p>
        </w:tc>
        <w:tc>
          <w:tcPr>
            <w:tcW w:type="dxa" w:w="42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Auto-tagging findings to industry frameworks</w:t>
            </w:r>
          </w:p>
        </w:tc>
      </w:tr>
      <w:tr>
        <w:tc>
          <w:tcPr>
            <w:tcW w:type="dxa" w:w="20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CVE Lookup</w:t>
            </w:r>
          </w:p>
        </w:tc>
        <w:tc>
          <w:tcPr>
            <w:tcW w:type="dxa" w:w="30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NVD API (nvd.nist.gov)</w:t>
            </w:r>
          </w:p>
        </w:tc>
        <w:tc>
          <w:tcPr>
            <w:tcW w:type="dxa" w:w="42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Cross-reference findings with known CVE database</w:t>
            </w:r>
          </w:p>
        </w:tc>
      </w:tr>
      <w:tr>
        <w:tc>
          <w:tcPr>
            <w:tcW w:type="dxa" w:w="20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Report Generation</w:t>
            </w:r>
          </w:p>
        </w:tc>
        <w:tc>
          <w:tcPr>
            <w:tcW w:type="dxa" w:w="30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python-docx, fpdf2, Jinja2</w:t>
            </w:r>
          </w:p>
        </w:tc>
        <w:tc>
          <w:tcPr>
            <w:tcW w:type="dxa" w:w="42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DOCX, PDF, and Markdown professional report generation</w:t>
            </w:r>
          </w:p>
        </w:tc>
      </w:tr>
      <w:tr>
        <w:tc>
          <w:tcPr>
            <w:tcW w:type="dxa" w:w="20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Config / Secrets</w:t>
            </w:r>
          </w:p>
        </w:tc>
        <w:tc>
          <w:tcPr>
            <w:tcW w:type="dxa" w:w="30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dotenv</w:t>
            </w:r>
          </w:p>
        </w:tc>
        <w:tc>
          <w:tcPr>
            <w:tcW w:type="dxa" w:w="42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Secure API key and environment variable management</w:t>
            </w:r>
          </w:p>
        </w:tc>
      </w:tr>
      <w:tr>
        <w:tc>
          <w:tcPr>
            <w:tcW w:type="dxa" w:w="20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Testing</w:t>
            </w:r>
          </w:p>
        </w:tc>
        <w:tc>
          <w:tcPr>
            <w:tcW w:type="dxa" w:w="30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pytest</w:t>
            </w:r>
          </w:p>
        </w:tc>
        <w:tc>
          <w:tcPr>
            <w:tcW w:type="dxa" w:w="42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Unit and integration testing across all modules</w:t>
            </w:r>
          </w:p>
        </w:tc>
      </w:tr>
      <w:tr>
        <w:tc>
          <w:tcPr>
            <w:tcW w:type="dxa" w:w="20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Version Control</w:t>
            </w:r>
          </w:p>
        </w:tc>
        <w:tc>
          <w:tcPr>
            <w:tcW w:type="dxa" w:w="30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Git + GitHub</w:t>
            </w:r>
          </w:p>
        </w:tc>
        <w:tc>
          <w:tcPr>
            <w:tcW w:type="dxa" w:w="42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Collaboration, branch management, code reviews</w:t>
            </w:r>
          </w:p>
        </w:tc>
      </w:tr>
      <w:tr>
        <w:tc>
          <w:tcPr>
            <w:tcW w:type="dxa" w:w="20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Deployment</w:t>
            </w:r>
          </w:p>
        </w:tc>
        <w:tc>
          <w:tcPr>
            <w:tcW w:type="dxa" w:w="30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pip (PyPI)</w:t>
            </w:r>
          </w:p>
        </w:tc>
        <w:tc>
          <w:tcPr>
            <w:tcW w:type="dxa" w:w="42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pip install sentinelai for instant access</w:t>
            </w:r>
          </w:p>
        </w:tc>
      </w:tr>
      <w:tr>
        <w:tc>
          <w:tcPr>
            <w:tcW w:type="dxa" w:w="20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IDE</w:t>
            </w:r>
          </w:p>
        </w:tc>
        <w:tc>
          <w:tcPr>
            <w:tcW w:type="dxa" w:w="30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VS Code / PyCharm</w:t>
            </w:r>
          </w:p>
        </w:tc>
        <w:tc>
          <w:tcPr>
            <w:tcW w:type="dxa" w:w="42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Development environment across team members</w:t>
            </w:r>
          </w:p>
        </w:tc>
      </w:tr>
    </w:tbl>
    <w:p>
      <w:pPr>
        <w:spacing w:after="100" w:before="100"/>
      </w:pPr>
      <w:r>
        <w:t xml:space="preserve"/>
      </w:r>
    </w:p>
    <w:p>
      <w:pPr>
        <w:pBdr>
          <w:bottom w:val="single" w:color="DDDDDD" w:sz="4"/>
        </w:pBdr>
        <w:spacing w:after="200" w:before="200"/>
      </w:pPr>
      <w:r>
        <w:t xml:space="preserve"/>
      </w:r>
    </w:p>
    <w:p>
      <w:pPr>
        <w:pBdr>
          <w:bottom w:val="single" w:color="E85D04" w:sz="8"/>
        </w:pBdr>
        <w:spacing w:after="160" w:before="400"/>
      </w:pPr>
      <w:r>
        <w:rPr>
          <w:rFonts w:ascii="Calibri" w:cs="Calibri" w:eastAsia="Calibri" w:hAnsi="Calibri"/>
          <w:b/>
          <w:bCs/>
          <w:color w:val="E85D04"/>
          <w:sz w:val="36"/>
          <w:szCs w:val="36"/>
        </w:rPr>
        <w:t xml:space="preserve">07  </w:t>
      </w:r>
      <w:r>
        <w:rPr>
          <w:rFonts w:ascii="Calibri" w:cs="Calibri" w:eastAsia="Calibri" w:hAnsi="Calibri"/>
          <w:b/>
          <w:bCs/>
          <w:color w:val="1A1A2E"/>
          <w:sz w:val="36"/>
          <w:szCs w:val="36"/>
        </w:rPr>
        <w:t xml:space="preserve">Feature Finalization</w:t>
      </w:r>
    </w:p>
    <w:p>
      <w:pPr>
        <w:spacing w:after="100" w:before="100"/>
      </w:pPr>
      <w:r>
        <w:t xml:space="preserve"/>
      </w:r>
    </w:p>
    <w:p>
      <w:pPr>
        <w:spacing w:after="100" w:before="200"/>
      </w:pPr>
      <w:r>
        <w:rPr>
          <w:rFonts w:ascii="Calibri" w:cs="Calibri" w:eastAsia="Calibri" w:hAnsi="Calibri"/>
          <w:b/>
          <w:bCs/>
          <w:color w:val="1A1A2E"/>
          <w:sz w:val="26"/>
          <w:szCs w:val="26"/>
        </w:rPr>
        <w:t xml:space="preserve">Core Features — MVP (Must Have by Day 100)</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00"/>
            <w:tcBorders>
              <w:top w:val="none" w:color="FFFFFF" w:sz="0"/>
              <w:left w:val="none" w:color="FFFFFF" w:sz="0"/>
              <w:bottom w:val="none" w:color="FFFFFF" w:sz="0"/>
              <w:right w:val="single" w:color="333333" w:sz="4"/>
            </w:tcBorders>
            <w:shd w:fill="1A1A2E" w:val="clear"/>
            <w:tcMar>
              <w:top w:type="dxa" w:w="100"/>
              <w:left w:type="dxa" w:w="160"/>
              <w:bottom w:type="dxa" w:w="100"/>
              <w:right w:type="dxa" w:w="160"/>
            </w:tcMar>
          </w:tcPr>
          <w:p>
            <w:r>
              <w:rPr>
                <w:rFonts w:ascii="Calibri" w:cs="Calibri" w:eastAsia="Calibri" w:hAnsi="Calibri"/>
                <w:b/>
                <w:bCs/>
                <w:color w:val="FFFFFF"/>
                <w:sz w:val="20"/>
                <w:szCs w:val="20"/>
              </w:rPr>
              <w:t xml:space="preserve">#</w:t>
            </w:r>
          </w:p>
        </w:tc>
        <w:tc>
          <w:tcPr>
            <w:tcW w:type="dxa" w:w="2400"/>
            <w:tcBorders>
              <w:top w:val="none" w:color="FFFFFF" w:sz="0"/>
              <w:left w:val="none" w:color="FFFFFF" w:sz="0"/>
              <w:bottom w:val="none" w:color="FFFFFF" w:sz="0"/>
              <w:right w:val="single" w:color="333333" w:sz="4"/>
            </w:tcBorders>
            <w:shd w:fill="1A1A2E" w:val="clear"/>
            <w:tcMar>
              <w:top w:type="dxa" w:w="100"/>
              <w:left w:type="dxa" w:w="160"/>
              <w:bottom w:type="dxa" w:w="100"/>
              <w:right w:type="dxa" w:w="160"/>
            </w:tcMar>
          </w:tcPr>
          <w:p>
            <w:r>
              <w:rPr>
                <w:rFonts w:ascii="Calibri" w:cs="Calibri" w:eastAsia="Calibri" w:hAnsi="Calibri"/>
                <w:b/>
                <w:bCs/>
                <w:color w:val="FFFFFF"/>
                <w:sz w:val="20"/>
                <w:szCs w:val="20"/>
              </w:rPr>
              <w:t xml:space="preserve">Feature</w:t>
            </w:r>
          </w:p>
        </w:tc>
        <w:tc>
          <w:tcPr>
            <w:tcW w:type="dxa" w:w="6400"/>
            <w:tcBorders>
              <w:top w:val="none" w:color="FFFFFF" w:sz="0"/>
              <w:left w:val="none" w:color="FFFFFF" w:sz="0"/>
              <w:bottom w:val="none" w:color="FFFFFF" w:sz="0"/>
              <w:right w:val="single" w:color="333333" w:sz="4"/>
            </w:tcBorders>
            <w:shd w:fill="1A1A2E" w:val="clear"/>
            <w:tcMar>
              <w:top w:type="dxa" w:w="100"/>
              <w:left w:type="dxa" w:w="160"/>
              <w:bottom w:type="dxa" w:w="100"/>
              <w:right w:type="dxa" w:w="160"/>
            </w:tcMar>
          </w:tcPr>
          <w:p>
            <w:r>
              <w:rPr>
                <w:rFonts w:ascii="Calibri" w:cs="Calibri" w:eastAsia="Calibri" w:hAnsi="Calibri"/>
                <w:b/>
                <w:bCs/>
                <w:color w:val="FFFFFF"/>
                <w:sz w:val="20"/>
                <w:szCs w:val="20"/>
              </w:rPr>
              <w:t xml:space="preserve">Description</w:t>
            </w:r>
          </w:p>
        </w:tc>
      </w:tr>
      <w:tr>
        <w:tc>
          <w:tcPr>
            <w:tcW w:type="dxa" w:w="4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1</w:t>
            </w:r>
          </w:p>
        </w:tc>
        <w:tc>
          <w:tcPr>
            <w:tcW w:type="dxa" w:w="24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Nmap Integration</w:t>
            </w:r>
          </w:p>
        </w:tc>
        <w:tc>
          <w:tcPr>
            <w:tcW w:type="dxa" w:w="64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Run network scans and automatically parse/analyze raw output</w:t>
            </w:r>
          </w:p>
        </w:tc>
      </w:tr>
      <w:tr>
        <w:tc>
          <w:tcPr>
            <w:tcW w:type="dxa" w:w="4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2</w:t>
            </w:r>
          </w:p>
        </w:tc>
        <w:tc>
          <w:tcPr>
            <w:tcW w:type="dxa" w:w="24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Windows Event Log Analysis</w:t>
            </w:r>
          </w:p>
        </w:tc>
        <w:tc>
          <w:tcPr>
            <w:tcW w:type="dxa" w:w="64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Ingest and parse Windows security event logs for threat detection</w:t>
            </w:r>
          </w:p>
        </w:tc>
      </w:tr>
      <w:tr>
        <w:tc>
          <w:tcPr>
            <w:tcW w:type="dxa" w:w="4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3</w:t>
            </w:r>
          </w:p>
        </w:tc>
        <w:tc>
          <w:tcPr>
            <w:tcW w:type="dxa" w:w="24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AI Plain English Analysis</w:t>
            </w:r>
          </w:p>
        </w:tc>
        <w:tc>
          <w:tcPr>
            <w:tcW w:type="dxa" w:w="64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Translate all cryptic security output into clear, actionable language</w:t>
            </w:r>
          </w:p>
        </w:tc>
      </w:tr>
      <w:tr>
        <w:tc>
          <w:tcPr>
            <w:tcW w:type="dxa" w:w="4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4</w:t>
            </w:r>
          </w:p>
        </w:tc>
        <w:tc>
          <w:tcPr>
            <w:tcW w:type="dxa" w:w="24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MITRE ATT&amp;CK Mapping</w:t>
            </w:r>
          </w:p>
        </w:tc>
        <w:tc>
          <w:tcPr>
            <w:tcW w:type="dxa" w:w="64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Auto-tag every finding to specific MITRE ATT&amp;CK techniques with IDs</w:t>
            </w:r>
          </w:p>
        </w:tc>
      </w:tr>
      <w:tr>
        <w:tc>
          <w:tcPr>
            <w:tcW w:type="dxa" w:w="4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5</w:t>
            </w:r>
          </w:p>
        </w:tc>
        <w:tc>
          <w:tcPr>
            <w:tcW w:type="dxa" w:w="24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OWASP Top 10 Mapping</w:t>
            </w:r>
          </w:p>
        </w:tc>
        <w:tc>
          <w:tcPr>
            <w:tcW w:type="dxa" w:w="64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Automatically categorize web vulnerabilities to OWASP categories</w:t>
            </w:r>
          </w:p>
        </w:tc>
      </w:tr>
      <w:tr>
        <w:tc>
          <w:tcPr>
            <w:tcW w:type="dxa" w:w="4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6</w:t>
            </w:r>
          </w:p>
        </w:tc>
        <w:tc>
          <w:tcPr>
            <w:tcW w:type="dxa" w:w="24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CVE Correlation</w:t>
            </w:r>
          </w:p>
        </w:tc>
        <w:tc>
          <w:tcPr>
            <w:tcW w:type="dxa" w:w="64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Cross-reference findings with the NVD CVE database and severity scores</w:t>
            </w:r>
          </w:p>
        </w:tc>
      </w:tr>
      <w:tr>
        <w:tc>
          <w:tcPr>
            <w:tcW w:type="dxa" w:w="4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7</w:t>
            </w:r>
          </w:p>
        </w:tc>
        <w:tc>
          <w:tcPr>
            <w:tcW w:type="dxa" w:w="24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Remediation Steps</w:t>
            </w:r>
          </w:p>
        </w:tc>
        <w:tc>
          <w:tcPr>
            <w:tcW w:type="dxa" w:w="64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Generate specific, code-level fix instructions for every finding</w:t>
            </w:r>
          </w:p>
        </w:tc>
      </w:tr>
      <w:tr>
        <w:tc>
          <w:tcPr>
            <w:tcW w:type="dxa" w:w="4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8</w:t>
            </w:r>
          </w:p>
        </w:tc>
        <w:tc>
          <w:tcPr>
            <w:tcW w:type="dxa" w:w="24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DOCX Report Generation</w:t>
            </w:r>
          </w:p>
        </w:tc>
        <w:tc>
          <w:tcPr>
            <w:tcW w:type="dxa" w:w="64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Professional Word document security reports ready to share</w:t>
            </w:r>
          </w:p>
        </w:tc>
      </w:tr>
      <w:tr>
        <w:tc>
          <w:tcPr>
            <w:tcW w:type="dxa" w:w="4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9</w:t>
            </w:r>
          </w:p>
        </w:tc>
        <w:tc>
          <w:tcPr>
            <w:tcW w:type="dxa" w:w="24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PDF Report Generation</w:t>
            </w:r>
          </w:p>
        </w:tc>
        <w:tc>
          <w:tcPr>
            <w:tcW w:type="dxa" w:w="64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PDF version of reports for formal submission/management sharing</w:t>
            </w:r>
          </w:p>
        </w:tc>
      </w:tr>
      <w:tr>
        <w:tc>
          <w:tcPr>
            <w:tcW w:type="dxa" w:w="4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10</w:t>
            </w:r>
          </w:p>
        </w:tc>
        <w:tc>
          <w:tcPr>
            <w:tcW w:type="dxa" w:w="24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Markdown Report</w:t>
            </w:r>
          </w:p>
        </w:tc>
        <w:tc>
          <w:tcPr>
            <w:tcW w:type="dxa" w:w="64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Technical reports for GitHub, developer teams, and documentation</w:t>
            </w:r>
          </w:p>
        </w:tc>
      </w:tr>
      <w:tr>
        <w:tc>
          <w:tcPr>
            <w:tcW w:type="dxa" w:w="4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11</w:t>
            </w:r>
          </w:p>
        </w:tc>
        <w:tc>
          <w:tcPr>
            <w:tcW w:type="dxa" w:w="24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Multi-LLM Support</w:t>
            </w:r>
          </w:p>
        </w:tc>
        <w:tc>
          <w:tcPr>
            <w:tcW w:type="dxa" w:w="64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Support OpenAI, Claude, Gemini APIs plus local Ollama</w:t>
            </w:r>
          </w:p>
        </w:tc>
      </w:tr>
      <w:tr>
        <w:tc>
          <w:tcPr>
            <w:tcW w:type="dxa" w:w="4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12</w:t>
            </w:r>
          </w:p>
        </w:tc>
        <w:tc>
          <w:tcPr>
            <w:tcW w:type="dxa" w:w="24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Cross-platform Support</w:t>
            </w:r>
          </w:p>
        </w:tc>
        <w:tc>
          <w:tcPr>
            <w:tcW w:type="dxa" w:w="64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Full Windows + Linux compatibility — no dual-boot required</w:t>
            </w:r>
          </w:p>
        </w:tc>
      </w:tr>
      <w:tr>
        <w:tc>
          <w:tcPr>
            <w:tcW w:type="dxa" w:w="4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13</w:t>
            </w:r>
          </w:p>
        </w:tc>
        <w:tc>
          <w:tcPr>
            <w:tcW w:type="dxa" w:w="24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Human-in-the-loop Safety</w:t>
            </w:r>
          </w:p>
        </w:tc>
        <w:tc>
          <w:tcPr>
            <w:tcW w:type="dxa" w:w="64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Approval required before any command executes — no blind actions</w:t>
            </w:r>
          </w:p>
        </w:tc>
      </w:tr>
    </w:tbl>
    <w:p>
      <w:pPr>
        <w:spacing w:after="100" w:before="100"/>
      </w:pPr>
      <w:r>
        <w:t xml:space="preserve"/>
      </w:r>
    </w:p>
    <w:p>
      <w:pPr>
        <w:spacing w:after="100" w:before="200"/>
      </w:pPr>
      <w:r>
        <w:rPr>
          <w:rFonts w:ascii="Calibri" w:cs="Calibri" w:eastAsia="Calibri" w:hAnsi="Calibri"/>
          <w:b/>
          <w:bCs/>
          <w:color w:val="1A1A2E"/>
          <w:sz w:val="26"/>
          <w:szCs w:val="26"/>
        </w:rPr>
        <w:t xml:space="preserve">Additional Features — Nice to Have</w:t>
      </w:r>
    </w:p>
    <w:p>
      <w:pPr>
        <w:spacing w:after="80" w:before="80"/>
        <w:ind w:left="400"/>
      </w:pPr>
      <w:r>
        <w:rPr>
          <w:rFonts w:ascii="Calibri" w:cs="Calibri" w:eastAsia="Calibri" w:hAnsi="Calibri"/>
          <w:color w:val="1A1A2E"/>
          <w:sz w:val="22"/>
          <w:szCs w:val="22"/>
        </w:rPr>
        <w:t xml:space="preserve">•  Beginner Learning Mode — Security+ aligned plain-English explanations for each finding type</w:t>
      </w:r>
    </w:p>
    <w:p>
      <w:pPr>
        <w:spacing w:after="80" w:before="80"/>
        <w:ind w:left="400"/>
      </w:pPr>
      <w:r>
        <w:rPr>
          <w:rFonts w:ascii="Calibri" w:cs="Calibri" w:eastAsia="Calibri" w:hAnsi="Calibri"/>
          <w:color w:val="1A1A2E"/>
          <w:sz w:val="22"/>
          <w:szCs w:val="22"/>
        </w:rPr>
        <w:t xml:space="preserve">•  VS Code Extension — Analyze code files for security vulnerabilities directly inside the editor</w:t>
      </w:r>
    </w:p>
    <w:p>
      <w:pPr>
        <w:spacing w:after="80" w:before="80"/>
        <w:ind w:left="400"/>
      </w:pPr>
      <w:r>
        <w:rPr>
          <w:rFonts w:ascii="Calibri" w:cs="Calibri" w:eastAsia="Calibri" w:hAnsi="Calibri"/>
          <w:color w:val="1A1A2E"/>
          <w:sz w:val="22"/>
          <w:szCs w:val="22"/>
        </w:rPr>
        <w:t xml:space="preserve">•  Wireshark / pcap analysis — Parse network capture files for threat detection</w:t>
      </w:r>
    </w:p>
    <w:p>
      <w:pPr>
        <w:spacing w:after="80" w:before="80"/>
        <w:ind w:left="400"/>
      </w:pPr>
      <w:r>
        <w:rPr>
          <w:rFonts w:ascii="Calibri" w:cs="Calibri" w:eastAsia="Calibri" w:hAnsi="Calibri"/>
          <w:color w:val="1A1A2E"/>
          <w:sz w:val="22"/>
          <w:szCs w:val="22"/>
        </w:rPr>
        <w:t xml:space="preserve">•  Email phishing analysis — Detect social engineering and phishing attempts in email headers/content</w:t>
      </w:r>
    </w:p>
    <w:p>
      <w:pPr>
        <w:spacing w:after="80" w:before="80"/>
        <w:ind w:left="400"/>
      </w:pPr>
      <w:r>
        <w:rPr>
          <w:rFonts w:ascii="Calibri" w:cs="Calibri" w:eastAsia="Calibri" w:hAnsi="Calibri"/>
          <w:color w:val="1A1A2E"/>
          <w:sz w:val="22"/>
          <w:szCs w:val="22"/>
        </w:rPr>
        <w:t xml:space="preserve">•  Multi-language support — Hindi and regional Indian languages for broader student accessibility</w:t>
      </w:r>
    </w:p>
    <w:p>
      <w:pPr>
        <w:spacing w:after="80" w:before="80"/>
        <w:ind w:left="400"/>
      </w:pPr>
      <w:r>
        <w:rPr>
          <w:rFonts w:ascii="Calibri" w:cs="Calibri" w:eastAsia="Calibri" w:hAnsi="Calibri"/>
          <w:color w:val="1A1A2E"/>
          <w:sz w:val="22"/>
          <w:szCs w:val="22"/>
        </w:rPr>
        <w:t xml:space="preserve">•  Web dashboard — Optional browser-based UI for non-CLI users</w:t>
      </w:r>
    </w:p>
    <w:p>
      <w:pPr>
        <w:spacing w:after="100" w:before="100"/>
      </w:pPr>
      <w:r>
        <w:t xml:space="preserve"/>
      </w:r>
    </w:p>
    <w:p>
      <w:pPr>
        <w:pBdr>
          <w:bottom w:val="single" w:color="DDDDDD" w:sz="4"/>
        </w:pBdr>
        <w:spacing w:after="200" w:before="200"/>
      </w:pPr>
      <w:r>
        <w:t xml:space="preserve"/>
      </w:r>
    </w:p>
    <w:p>
      <w:pPr>
        <w:pBdr>
          <w:bottom w:val="single" w:color="E85D04" w:sz="8"/>
        </w:pBdr>
        <w:spacing w:after="160" w:before="400"/>
      </w:pPr>
      <w:r>
        <w:rPr>
          <w:rFonts w:ascii="Calibri" w:cs="Calibri" w:eastAsia="Calibri" w:hAnsi="Calibri"/>
          <w:b/>
          <w:bCs/>
          <w:color w:val="E85D04"/>
          <w:sz w:val="36"/>
          <w:szCs w:val="36"/>
        </w:rPr>
        <w:t xml:space="preserve">08  </w:t>
      </w:r>
      <w:r>
        <w:rPr>
          <w:rFonts w:ascii="Calibri" w:cs="Calibri" w:eastAsia="Calibri" w:hAnsi="Calibri"/>
          <w:b/>
          <w:bCs/>
          <w:color w:val="1A1A2E"/>
          <w:sz w:val="36"/>
          <w:szCs w:val="36"/>
        </w:rPr>
        <w:t xml:space="preserve">Phase Themes — 100 Day Execution</w:t>
      </w:r>
    </w:p>
    <w:p>
      <w:pPr>
        <w:spacing w:after="100" w:before="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100"/>
            <w:tcBorders>
              <w:top w:val="none" w:color="FFFFFF" w:sz="0"/>
              <w:left w:val="none" w:color="FFFFFF" w:sz="0"/>
              <w:bottom w:val="none" w:color="FFFFFF" w:sz="0"/>
              <w:right w:val="single" w:color="333333" w:sz="4"/>
            </w:tcBorders>
            <w:shd w:fill="1A1A2E" w:val="clear"/>
            <w:tcMar>
              <w:top w:type="dxa" w:w="100"/>
              <w:left w:type="dxa" w:w="160"/>
              <w:bottom w:type="dxa" w:w="100"/>
              <w:right w:type="dxa" w:w="160"/>
            </w:tcMar>
          </w:tcPr>
          <w:p>
            <w:r>
              <w:rPr>
                <w:rFonts w:ascii="Calibri" w:cs="Calibri" w:eastAsia="Calibri" w:hAnsi="Calibri"/>
                <w:b/>
                <w:bCs/>
                <w:color w:val="FFFFFF"/>
                <w:sz w:val="20"/>
                <w:szCs w:val="20"/>
              </w:rPr>
              <w:t xml:space="preserve">Phase</w:t>
            </w:r>
          </w:p>
        </w:tc>
        <w:tc>
          <w:tcPr>
            <w:tcW w:type="dxa" w:w="1100"/>
            <w:tcBorders>
              <w:top w:val="none" w:color="FFFFFF" w:sz="0"/>
              <w:left w:val="none" w:color="FFFFFF" w:sz="0"/>
              <w:bottom w:val="none" w:color="FFFFFF" w:sz="0"/>
              <w:right w:val="single" w:color="333333" w:sz="4"/>
            </w:tcBorders>
            <w:shd w:fill="1A1A2E" w:val="clear"/>
            <w:tcMar>
              <w:top w:type="dxa" w:w="100"/>
              <w:left w:type="dxa" w:w="160"/>
              <w:bottom w:type="dxa" w:w="100"/>
              <w:right w:type="dxa" w:w="160"/>
            </w:tcMar>
          </w:tcPr>
          <w:p>
            <w:r>
              <w:rPr>
                <w:rFonts w:ascii="Calibri" w:cs="Calibri" w:eastAsia="Calibri" w:hAnsi="Calibri"/>
                <w:b/>
                <w:bCs/>
                <w:color w:val="FFFFFF"/>
                <w:sz w:val="20"/>
                <w:szCs w:val="20"/>
              </w:rPr>
              <w:t xml:space="preserve">Days</w:t>
            </w:r>
          </w:p>
        </w:tc>
        <w:tc>
          <w:tcPr>
            <w:tcW w:type="dxa" w:w="2200"/>
            <w:tcBorders>
              <w:top w:val="none" w:color="FFFFFF" w:sz="0"/>
              <w:left w:val="none" w:color="FFFFFF" w:sz="0"/>
              <w:bottom w:val="none" w:color="FFFFFF" w:sz="0"/>
              <w:right w:val="single" w:color="333333" w:sz="4"/>
            </w:tcBorders>
            <w:shd w:fill="1A1A2E" w:val="clear"/>
            <w:tcMar>
              <w:top w:type="dxa" w:w="100"/>
              <w:left w:type="dxa" w:w="160"/>
              <w:bottom w:type="dxa" w:w="100"/>
              <w:right w:type="dxa" w:w="160"/>
            </w:tcMar>
          </w:tcPr>
          <w:p>
            <w:r>
              <w:rPr>
                <w:rFonts w:ascii="Calibri" w:cs="Calibri" w:eastAsia="Calibri" w:hAnsi="Calibri"/>
                <w:b/>
                <w:bCs/>
                <w:color w:val="FFFFFF"/>
                <w:sz w:val="20"/>
                <w:szCs w:val="20"/>
              </w:rPr>
              <w:t xml:space="preserve">Theme</w:t>
            </w:r>
          </w:p>
        </w:tc>
        <w:tc>
          <w:tcPr>
            <w:tcW w:type="dxa" w:w="4800"/>
            <w:tcBorders>
              <w:top w:val="none" w:color="FFFFFF" w:sz="0"/>
              <w:left w:val="none" w:color="FFFFFF" w:sz="0"/>
              <w:bottom w:val="none" w:color="FFFFFF" w:sz="0"/>
              <w:right w:val="single" w:color="333333" w:sz="4"/>
            </w:tcBorders>
            <w:shd w:fill="1A1A2E" w:val="clear"/>
            <w:tcMar>
              <w:top w:type="dxa" w:w="100"/>
              <w:left w:type="dxa" w:w="160"/>
              <w:bottom w:type="dxa" w:w="100"/>
              <w:right w:type="dxa" w:w="160"/>
            </w:tcMar>
          </w:tcPr>
          <w:p>
            <w:r>
              <w:rPr>
                <w:rFonts w:ascii="Calibri" w:cs="Calibri" w:eastAsia="Calibri" w:hAnsi="Calibri"/>
                <w:b/>
                <w:bCs/>
                <w:color w:val="FFFFFF"/>
                <w:sz w:val="20"/>
                <w:szCs w:val="20"/>
              </w:rPr>
              <w:t xml:space="preserve">Key Deliverable</w:t>
            </w:r>
          </w:p>
        </w:tc>
      </w:tr>
      <w:tr>
        <w:tc>
          <w:tcPr>
            <w:tcW w:type="dxa" w:w="11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Phase 1</w:t>
            </w:r>
          </w:p>
        </w:tc>
        <w:tc>
          <w:tcPr>
            <w:tcW w:type="dxa" w:w="11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Days 1–25</w:t>
            </w:r>
          </w:p>
        </w:tc>
        <w:tc>
          <w:tcPr>
            <w:tcW w:type="dxa" w:w="22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Foundation</w:t>
            </w:r>
          </w:p>
        </w:tc>
        <w:tc>
          <w:tcPr>
            <w:tcW w:type="dxa" w:w="48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Core CLI framework + Nmap integration + first LLM API connected</w:t>
            </w:r>
          </w:p>
        </w:tc>
      </w:tr>
      <w:tr>
        <w:tc>
          <w:tcPr>
            <w:tcW w:type="dxa" w:w="11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Phase 2</w:t>
            </w:r>
          </w:p>
        </w:tc>
        <w:tc>
          <w:tcPr>
            <w:tcW w:type="dxa" w:w="11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Days 26–50</w:t>
            </w:r>
          </w:p>
        </w:tc>
        <w:tc>
          <w:tcPr>
            <w:tcW w:type="dxa" w:w="22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Core Features</w:t>
            </w:r>
          </w:p>
        </w:tc>
        <w:tc>
          <w:tcPr>
            <w:tcW w:type="dxa" w:w="48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Windows Event Logs + MITRE/OWASP mapping + CVE lookup + Ollama support</w:t>
            </w:r>
          </w:p>
        </w:tc>
      </w:tr>
      <w:tr>
        <w:tc>
          <w:tcPr>
            <w:tcW w:type="dxa" w:w="11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Phase 3</w:t>
            </w:r>
          </w:p>
        </w:tc>
        <w:tc>
          <w:tcPr>
            <w:tcW w:type="dxa" w:w="11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Days 51–75</w:t>
            </w:r>
          </w:p>
        </w:tc>
        <w:tc>
          <w:tcPr>
            <w:tcW w:type="dxa" w:w="22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Polish &amp; Reports</w:t>
            </w:r>
          </w:p>
        </w:tc>
        <w:tc>
          <w:tcPr>
            <w:tcW w:type="dxa" w:w="48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Report generation (DOCX/PDF/MD) + remediation steps + cross-platform testing</w:t>
            </w:r>
          </w:p>
        </w:tc>
      </w:tr>
      <w:tr>
        <w:tc>
          <w:tcPr>
            <w:tcW w:type="dxa" w:w="11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Phase 4</w:t>
            </w:r>
          </w:p>
        </w:tc>
        <w:tc>
          <w:tcPr>
            <w:tcW w:type="dxa" w:w="11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Days 76–100</w:t>
            </w:r>
          </w:p>
        </w:tc>
        <w:tc>
          <w:tcPr>
            <w:tcW w:type="dxa" w:w="22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Launch Prep</w:t>
            </w:r>
          </w:p>
        </w:tc>
        <w:tc>
          <w:tcPr>
            <w:tcW w:type="dxa" w:w="48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Full testing + documentation + GitHub open-source release + pip install live</w:t>
            </w:r>
          </w:p>
        </w:tc>
      </w:tr>
    </w:tbl>
    <w:p>
      <w:pPr>
        <w:spacing w:after="100" w:before="100"/>
      </w:pPr>
      <w:r>
        <w:t xml:space="preserve"/>
      </w:r>
    </w:p>
    <w:p>
      <w:pPr>
        <w:pBdr>
          <w:bottom w:val="single" w:color="DDDDDD" w:sz="4"/>
        </w:pBdr>
        <w:spacing w:after="200" w:before="200"/>
      </w:pPr>
      <w:r>
        <w:t xml:space="preserve"/>
      </w:r>
    </w:p>
    <w:p>
      <w:pPr>
        <w:pBdr>
          <w:bottom w:val="single" w:color="E85D04" w:sz="8"/>
        </w:pBdr>
        <w:spacing w:after="160" w:before="400"/>
      </w:pPr>
      <w:r>
        <w:rPr>
          <w:rFonts w:ascii="Calibri" w:cs="Calibri" w:eastAsia="Calibri" w:hAnsi="Calibri"/>
          <w:b/>
          <w:bCs/>
          <w:color w:val="E85D04"/>
          <w:sz w:val="36"/>
          <w:szCs w:val="36"/>
        </w:rPr>
        <w:t xml:space="preserve">09  </w:t>
      </w:r>
      <w:r>
        <w:rPr>
          <w:rFonts w:ascii="Calibri" w:cs="Calibri" w:eastAsia="Calibri" w:hAnsi="Calibri"/>
          <w:b/>
          <w:bCs/>
          <w:color w:val="1A1A2E"/>
          <w:sz w:val="36"/>
          <w:szCs w:val="36"/>
        </w:rPr>
        <w:t xml:space="preserve">Success Metrics</w:t>
      </w:r>
    </w:p>
    <w:p>
      <w:pPr>
        <w:spacing w:after="100" w:before="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tcBorders>
              <w:top w:val="none" w:color="FFFFFF" w:sz="0"/>
              <w:left w:val="none" w:color="FFFFFF" w:sz="0"/>
              <w:bottom w:val="none" w:color="FFFFFF" w:sz="0"/>
              <w:right w:val="single" w:color="333333" w:sz="4"/>
            </w:tcBorders>
            <w:shd w:fill="1A1A2E" w:val="clear"/>
            <w:tcMar>
              <w:top w:type="dxa" w:w="100"/>
              <w:left w:type="dxa" w:w="160"/>
              <w:bottom w:type="dxa" w:w="100"/>
              <w:right w:type="dxa" w:w="160"/>
            </w:tcMar>
          </w:tcPr>
          <w:p>
            <w:r>
              <w:rPr>
                <w:rFonts w:ascii="Calibri" w:cs="Calibri" w:eastAsia="Calibri" w:hAnsi="Calibri"/>
                <w:b/>
                <w:bCs/>
                <w:color w:val="FFFFFF"/>
                <w:sz w:val="20"/>
                <w:szCs w:val="20"/>
              </w:rPr>
              <w:t xml:space="preserve">Metric</w:t>
            </w:r>
          </w:p>
        </w:tc>
        <w:tc>
          <w:tcPr>
            <w:tcW w:type="dxa" w:w="2500"/>
            <w:tcBorders>
              <w:top w:val="none" w:color="FFFFFF" w:sz="0"/>
              <w:left w:val="none" w:color="FFFFFF" w:sz="0"/>
              <w:bottom w:val="none" w:color="FFFFFF" w:sz="0"/>
              <w:right w:val="single" w:color="333333" w:sz="4"/>
            </w:tcBorders>
            <w:shd w:fill="1A1A2E" w:val="clear"/>
            <w:tcMar>
              <w:top w:type="dxa" w:w="100"/>
              <w:left w:type="dxa" w:w="160"/>
              <w:bottom w:type="dxa" w:w="100"/>
              <w:right w:type="dxa" w:w="160"/>
            </w:tcMar>
          </w:tcPr>
          <w:p>
            <w:r>
              <w:rPr>
                <w:rFonts w:ascii="Calibri" w:cs="Calibri" w:eastAsia="Calibri" w:hAnsi="Calibri"/>
                <w:b/>
                <w:bCs/>
                <w:color w:val="FFFFFF"/>
                <w:sz w:val="20"/>
                <w:szCs w:val="20"/>
              </w:rPr>
              <w:t xml:space="preserve">Target by Day 100</w:t>
            </w:r>
          </w:p>
        </w:tc>
        <w:tc>
          <w:tcPr>
            <w:tcW w:type="dxa" w:w="4200"/>
            <w:tcBorders>
              <w:top w:val="none" w:color="FFFFFF" w:sz="0"/>
              <w:left w:val="none" w:color="FFFFFF" w:sz="0"/>
              <w:bottom w:val="none" w:color="FFFFFF" w:sz="0"/>
              <w:right w:val="single" w:color="333333" w:sz="4"/>
            </w:tcBorders>
            <w:shd w:fill="1A1A2E" w:val="clear"/>
            <w:tcMar>
              <w:top w:type="dxa" w:w="100"/>
              <w:left w:type="dxa" w:w="160"/>
              <w:bottom w:type="dxa" w:w="100"/>
              <w:right w:type="dxa" w:w="160"/>
            </w:tcMar>
          </w:tcPr>
          <w:p>
            <w:r>
              <w:rPr>
                <w:rFonts w:ascii="Calibri" w:cs="Calibri" w:eastAsia="Calibri" w:hAnsi="Calibri"/>
                <w:b/>
                <w:bCs/>
                <w:color w:val="FFFFFF"/>
                <w:sz w:val="20"/>
                <w:szCs w:val="20"/>
              </w:rPr>
              <w:t xml:space="preserve">How We Measure</w:t>
            </w:r>
          </w:p>
        </w:tc>
      </w:tr>
      <w:tr>
        <w:tc>
          <w:tcPr>
            <w:tcW w:type="dxa" w:w="25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GitHub Stars</w:t>
            </w:r>
          </w:p>
        </w:tc>
        <w:tc>
          <w:tcPr>
            <w:tcW w:type="dxa" w:w="25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100+ stars post-launch</w:t>
            </w:r>
          </w:p>
        </w:tc>
        <w:tc>
          <w:tcPr>
            <w:tcW w:type="dxa" w:w="42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GitHub repository analytics</w:t>
            </w:r>
          </w:p>
        </w:tc>
      </w:tr>
      <w:tr>
        <w:tc>
          <w:tcPr>
            <w:tcW w:type="dxa" w:w="25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Scan-to-Report Time</w:t>
            </w:r>
          </w:p>
        </w:tc>
        <w:tc>
          <w:tcPr>
            <w:tcW w:type="dxa" w:w="25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Under 60 seconds end-to-end</w:t>
            </w:r>
          </w:p>
        </w:tc>
        <w:tc>
          <w:tcPr>
            <w:tcW w:type="dxa" w:w="42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Timed demo runs on test data</w:t>
            </w:r>
          </w:p>
        </w:tc>
      </w:tr>
      <w:tr>
        <w:tc>
          <w:tcPr>
            <w:tcW w:type="dxa" w:w="25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MITRE Mapping Accuracy</w:t>
            </w:r>
          </w:p>
        </w:tc>
        <w:tc>
          <w:tcPr>
            <w:tcW w:type="dxa" w:w="25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90%+ correct technique tagging</w:t>
            </w:r>
          </w:p>
        </w:tc>
        <w:tc>
          <w:tcPr>
            <w:tcW w:type="dxa" w:w="42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Manual validation against known attack datasets</w:t>
            </w:r>
          </w:p>
        </w:tc>
      </w:tr>
      <w:tr>
        <w:tc>
          <w:tcPr>
            <w:tcW w:type="dxa" w:w="25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Platform Coverage</w:t>
            </w:r>
          </w:p>
        </w:tc>
        <w:tc>
          <w:tcPr>
            <w:tcW w:type="dxa" w:w="25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Windows + Linux both passing</w:t>
            </w:r>
          </w:p>
        </w:tc>
        <w:tc>
          <w:tcPr>
            <w:tcW w:type="dxa" w:w="42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Automated pytest runs on both OS environments</w:t>
            </w:r>
          </w:p>
        </w:tc>
      </w:tr>
      <w:tr>
        <w:tc>
          <w:tcPr>
            <w:tcW w:type="dxa" w:w="25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Report Quality</w:t>
            </w:r>
          </w:p>
        </w:tc>
        <w:tc>
          <w:tcPr>
            <w:tcW w:type="dxa" w:w="25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Readable by non-expert (student)</w:t>
            </w:r>
          </w:p>
        </w:tc>
        <w:tc>
          <w:tcPr>
            <w:tcW w:type="dxa" w:w="42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Peer review by non-cybersecurity team member</w:t>
            </w:r>
          </w:p>
        </w:tc>
      </w:tr>
      <w:tr>
        <w:tc>
          <w:tcPr>
            <w:tcW w:type="dxa" w:w="25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Features Completed</w:t>
            </w:r>
          </w:p>
        </w:tc>
        <w:tc>
          <w:tcPr>
            <w:tcW w:type="dxa" w:w="25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All 13 MVP features working</w:t>
            </w:r>
          </w:p>
        </w:tc>
        <w:tc>
          <w:tcPr>
            <w:tcW w:type="dxa" w:w="4200"/>
            <w:tcBorders>
              <w:top w:val="none" w:color="FFFFFF" w:sz="0"/>
              <w:left w:val="none" w:color="FFFFFF" w:sz="0"/>
              <w:bottom w:val="single" w:color="DDDDDD" w:sz="2"/>
              <w:right w:val="none" w:color="FFFFFF" w:sz="0"/>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Feature checklist in GitHub project board</w:t>
            </w:r>
          </w:p>
        </w:tc>
      </w:tr>
      <w:tr>
        <w:tc>
          <w:tcPr>
            <w:tcW w:type="dxa" w:w="25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Team Velocity</w:t>
            </w:r>
          </w:p>
        </w:tc>
        <w:tc>
          <w:tcPr>
            <w:tcW w:type="dxa" w:w="25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Weekly deliverable per phase</w:t>
            </w:r>
          </w:p>
        </w:tc>
        <w:tc>
          <w:tcPr>
            <w:tcW w:type="dxa" w:w="4200"/>
            <w:tcBorders>
              <w:top w:val="none" w:color="FFFFFF" w:sz="0"/>
              <w:left w:val="none" w:color="FFFFFF" w:sz="0"/>
              <w:bottom w:val="single" w:color="DDDDDD" w:sz="2"/>
              <w:right w:val="none" w:color="FFFFFF" w:sz="0"/>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GitHub commit history + PR merge rate</w:t>
            </w:r>
          </w:p>
        </w:tc>
      </w:tr>
    </w:tbl>
    <w:p>
      <w:pPr>
        <w:spacing w:after="100" w:before="100"/>
      </w:pPr>
      <w:r>
        <w:t xml:space="preserve"/>
      </w:r>
    </w:p>
    <w:p>
      <w:pPr>
        <w:pBdr>
          <w:bottom w:val="single" w:color="DDDDDD" w:sz="4"/>
        </w:pBdr>
        <w:spacing w:after="200" w:before="200"/>
      </w:pPr>
      <w:r>
        <w:t xml:space="preserve"/>
      </w:r>
    </w:p>
    <w:p>
      <w:pPr>
        <w:pBdr>
          <w:bottom w:val="single" w:color="E85D04" w:sz="8"/>
        </w:pBdr>
        <w:spacing w:after="160" w:before="400"/>
      </w:pPr>
      <w:r>
        <w:rPr>
          <w:rFonts w:ascii="Calibri" w:cs="Calibri" w:eastAsia="Calibri" w:hAnsi="Calibri"/>
          <w:b/>
          <w:bCs/>
          <w:color w:val="E85D04"/>
          <w:sz w:val="36"/>
          <w:szCs w:val="36"/>
        </w:rPr>
        <w:t xml:space="preserve">10  </w:t>
      </w:r>
      <w:r>
        <w:rPr>
          <w:rFonts w:ascii="Calibri" w:cs="Calibri" w:eastAsia="Calibri" w:hAnsi="Calibri"/>
          <w:b/>
          <w:bCs/>
          <w:color w:val="1A1A2E"/>
          <w:sz w:val="36"/>
          <w:szCs w:val="36"/>
        </w:rPr>
        <w:t xml:space="preserve">Research References</w:t>
      </w:r>
    </w:p>
    <w:p>
      <w:pPr>
        <w:spacing w:after="100" w:before="100"/>
      </w:pPr>
      <w:r>
        <w:t xml:space="preserve"/>
      </w:r>
    </w:p>
    <w:p>
      <w:pPr>
        <w:spacing w:after="80" w:before="80"/>
        <w:ind w:left="400"/>
      </w:pPr>
      <w:r>
        <w:rPr>
          <w:rFonts w:ascii="Calibri" w:cs="Calibri" w:eastAsia="Calibri" w:hAnsi="Calibri"/>
          <w:color w:val="1A1A2E"/>
          <w:sz w:val="22"/>
          <w:szCs w:val="22"/>
        </w:rPr>
        <w:t xml:space="preserve">•  Microsoft Security Copilot — microsoft.com/security (pricing and feature analysis)</w:t>
      </w:r>
    </w:p>
    <w:p>
      <w:pPr>
        <w:spacing w:after="80" w:before="80"/>
        <w:ind w:left="400"/>
      </w:pPr>
      <w:r>
        <w:rPr>
          <w:rFonts w:ascii="Calibri" w:cs="Calibri" w:eastAsia="Calibri" w:hAnsi="Calibri"/>
          <w:color w:val="1A1A2E"/>
          <w:sz w:val="22"/>
          <w:szCs w:val="22"/>
        </w:rPr>
        <w:t xml:space="preserve">•  METATRON — github.com/sooryathejas/METATRON via cybersecuritynews.com, April 2026</w:t>
      </w:r>
    </w:p>
    <w:p>
      <w:pPr>
        <w:spacing w:after="80" w:before="80"/>
        <w:ind w:left="400"/>
      </w:pPr>
      <w:r>
        <w:rPr>
          <w:rFonts w:ascii="Calibri" w:cs="Calibri" w:eastAsia="Calibri" w:hAnsi="Calibri"/>
          <w:color w:val="1A1A2E"/>
          <w:sz w:val="22"/>
          <w:szCs w:val="22"/>
        </w:rPr>
        <w:t xml:space="preserve">•  PentAGI — github.com/vxcontrol/pentagi via helpnetsecurity.com, April 2026</w:t>
      </w:r>
    </w:p>
    <w:p>
      <w:pPr>
        <w:spacing w:after="80" w:before="80"/>
        <w:ind w:left="400"/>
      </w:pPr>
      <w:r>
        <w:rPr>
          <w:rFonts w:ascii="Calibri" w:cs="Calibri" w:eastAsia="Calibri" w:hAnsi="Calibri"/>
          <w:color w:val="1A1A2E"/>
          <w:sz w:val="22"/>
          <w:szCs w:val="22"/>
        </w:rPr>
        <w:t xml:space="preserve">•  CAI — Cybersecurity AI, github.com/aliasrobotics/cai</w:t>
      </w:r>
    </w:p>
    <w:p>
      <w:pPr>
        <w:spacing w:after="80" w:before="80"/>
        <w:ind w:left="400"/>
      </w:pPr>
      <w:r>
        <w:rPr>
          <w:rFonts w:ascii="Calibri" w:cs="Calibri" w:eastAsia="Calibri" w:hAnsi="Calibri"/>
          <w:color w:val="1A1A2E"/>
          <w:sz w:val="22"/>
          <w:szCs w:val="22"/>
        </w:rPr>
        <w:t xml:space="preserve">•  PentestGPT — USENIX Security 2024, Distinguished Artifact Award</w:t>
      </w:r>
    </w:p>
    <w:p>
      <w:pPr>
        <w:spacing w:after="80" w:before="80"/>
        <w:ind w:left="400"/>
      </w:pPr>
      <w:r>
        <w:rPr>
          <w:rFonts w:ascii="Calibri" w:cs="Calibri" w:eastAsia="Calibri" w:hAnsi="Calibri"/>
          <w:color w:val="1A1A2E"/>
          <w:sz w:val="22"/>
          <w:szCs w:val="22"/>
        </w:rPr>
        <w:t xml:space="preserve">•  Top 10 Open-Source AI Agent Penetration Testing Projects — blog.spark42.tech, July 2025</w:t>
      </w:r>
    </w:p>
    <w:p>
      <w:pPr>
        <w:spacing w:after="80" w:before="80"/>
        <w:ind w:left="400"/>
      </w:pPr>
      <w:r>
        <w:rPr>
          <w:rFonts w:ascii="Calibri" w:cs="Calibri" w:eastAsia="Calibri" w:hAnsi="Calibri"/>
          <w:color w:val="1A1A2E"/>
          <w:sz w:val="22"/>
          <w:szCs w:val="22"/>
        </w:rPr>
        <w:t xml:space="preserve">•  AI Pentesting Agents 2026: 39+ Tools Tested — appsecsanta.com, June 2026</w:t>
      </w:r>
    </w:p>
    <w:p>
      <w:pPr>
        <w:spacing w:after="80" w:before="80"/>
        <w:ind w:left="400"/>
      </w:pPr>
      <w:r>
        <w:rPr>
          <w:rFonts w:ascii="Calibri" w:cs="Calibri" w:eastAsia="Calibri" w:hAnsi="Calibri"/>
          <w:color w:val="1A1A2E"/>
          <w:sz w:val="22"/>
          <w:szCs w:val="22"/>
        </w:rPr>
        <w:t xml:space="preserve">•  The AI Hacking Boom: 70 New Tools — hadrian.io, April 2026</w:t>
      </w:r>
    </w:p>
    <w:p>
      <w:pPr>
        <w:spacing w:after="80" w:before="80"/>
        <w:ind w:left="400"/>
      </w:pPr>
      <w:r>
        <w:rPr>
          <w:rFonts w:ascii="Calibri" w:cs="Calibri" w:eastAsia="Calibri" w:hAnsi="Calibri"/>
          <w:color w:val="1A1A2E"/>
          <w:sz w:val="22"/>
          <w:szCs w:val="22"/>
        </w:rPr>
        <w:t xml:space="preserve">•  Microsoft Security Copilot Statistics — trustedtechteam.com, November 2025</w:t>
      </w:r>
    </w:p>
    <w:p>
      <w:pPr>
        <w:spacing w:after="80" w:before="80"/>
        <w:ind w:left="400"/>
      </w:pPr>
      <w:r>
        <w:rPr>
          <w:rFonts w:ascii="Calibri" w:cs="Calibri" w:eastAsia="Calibri" w:hAnsi="Calibri"/>
          <w:color w:val="1A1A2E"/>
          <w:sz w:val="22"/>
          <w:szCs w:val="22"/>
        </w:rPr>
        <w:t xml:space="preserve">•  MITRE ATT&amp;CK Framework — attack.mitre.org</w:t>
      </w:r>
    </w:p>
    <w:p>
      <w:pPr>
        <w:spacing w:after="80" w:before="80"/>
        <w:ind w:left="400"/>
      </w:pPr>
      <w:r>
        <w:rPr>
          <w:rFonts w:ascii="Calibri" w:cs="Calibri" w:eastAsia="Calibri" w:hAnsi="Calibri"/>
          <w:color w:val="1A1A2E"/>
          <w:sz w:val="22"/>
          <w:szCs w:val="22"/>
        </w:rPr>
        <w:t xml:space="preserve">•  OWASP Top 10 — owasp.org/Top10</w:t>
      </w:r>
    </w:p>
    <w:p>
      <w:pPr>
        <w:spacing w:after="80" w:before="80"/>
        <w:ind w:left="400"/>
      </w:pPr>
      <w:r>
        <w:rPr>
          <w:rFonts w:ascii="Calibri" w:cs="Calibri" w:eastAsia="Calibri" w:hAnsi="Calibri"/>
          <w:color w:val="1A1A2E"/>
          <w:sz w:val="22"/>
          <w:szCs w:val="22"/>
        </w:rPr>
        <w:t xml:space="preserve">•  NVD (National Vulnerability Database) — nvd.nist.gov</w:t>
      </w:r>
    </w:p>
    <w:p>
      <w:pPr>
        <w:spacing w:after="80" w:before="80"/>
        <w:ind w:left="400"/>
      </w:pPr>
      <w:r>
        <w:rPr>
          <w:rFonts w:ascii="Calibri" w:cs="Calibri" w:eastAsia="Calibri" w:hAnsi="Calibri"/>
          <w:color w:val="1A1A2E"/>
          <w:sz w:val="22"/>
          <w:szCs w:val="22"/>
        </w:rPr>
        <w:t xml:space="preserve">•  ISC2 Cybersecurity Workforce Study 2023 — 4 million unfilled jobs statistic</w:t>
      </w:r>
    </w:p>
    <w:p>
      <w:pPr>
        <w:spacing w:after="100" w:before="100"/>
      </w:pPr>
      <w:r>
        <w:t xml:space="preserve"/>
      </w:r>
    </w:p>
    <w:p>
      <w:pPr>
        <w:pBdr>
          <w:bottom w:val="single" w:color="DDDDDD" w:sz="4"/>
        </w:pBdr>
        <w:spacing w:after="200" w:before="200"/>
      </w:pPr>
      <w:r>
        <w:t xml:space="preserve"/>
      </w:r>
    </w:p>
    <w:p>
      <w:pPr>
        <w:pBdr>
          <w:bottom w:val="single" w:color="E85D04" w:sz="8"/>
        </w:pBdr>
        <w:spacing w:after="160" w:before="400"/>
      </w:pPr>
      <w:r>
        <w:rPr>
          <w:rFonts w:ascii="Calibri" w:cs="Calibri" w:eastAsia="Calibri" w:hAnsi="Calibri"/>
          <w:b/>
          <w:bCs/>
          <w:color w:val="E85D04"/>
          <w:sz w:val="36"/>
          <w:szCs w:val="36"/>
        </w:rPr>
        <w:t xml:space="preserve">11  </w:t>
      </w:r>
      <w:r>
        <w:rPr>
          <w:rFonts w:ascii="Calibri" w:cs="Calibri" w:eastAsia="Calibri" w:hAnsi="Calibri"/>
          <w:b/>
          <w:bCs/>
          <w:color w:val="1A1A2E"/>
          <w:sz w:val="36"/>
          <w:szCs w:val="36"/>
        </w:rPr>
        <w:t xml:space="preserve">Team Responsibilities</w:t>
      </w:r>
    </w:p>
    <w:p>
      <w:pPr>
        <w:spacing w:after="100" w:before="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none" w:color="FFFFFF" w:sz="0"/>
              <w:left w:val="none" w:color="FFFFFF" w:sz="0"/>
              <w:bottom w:val="none" w:color="FFFFFF" w:sz="0"/>
              <w:right w:val="none" w:color="FFFFFF" w:sz="0"/>
            </w:tcBorders>
            <w:shd w:fill="E85D04" w:val="clear"/>
            <w:tcMar>
              <w:top w:type="dxa" w:w="100"/>
              <w:left w:type="dxa" w:w="200"/>
              <w:bottom w:type="dxa" w:w="100"/>
              <w:right w:type="dxa" w:w="200"/>
            </w:tcMar>
          </w:tcPr>
          <w:p>
            <w:r>
              <w:rPr>
                <w:rFonts w:ascii="Calibri" w:cs="Calibri" w:eastAsia="Calibri" w:hAnsi="Calibri"/>
                <w:b/>
                <w:bCs/>
                <w:color w:val="FFFFFF"/>
                <w:sz w:val="24"/>
                <w:szCs w:val="24"/>
              </w:rPr>
              <w:t xml:space="preserve">Aditya Gupta  —  </w:t>
            </w:r>
            <w:r>
              <w:rPr>
                <w:rFonts w:ascii="Calibri" w:cs="Calibri" w:eastAsia="Calibri" w:hAnsi="Calibri"/>
                <w:i/>
                <w:iCs/>
                <w:color w:val="FFFFFF"/>
                <w:sz w:val="24"/>
                <w:szCs w:val="24"/>
              </w:rPr>
              <w:t xml:space="preserve">Project Lead &amp; AI/LLM Integration</w:t>
            </w:r>
          </w:p>
        </w:tc>
      </w:tr>
    </w:tbl>
    <w:p>
      <w:pPr>
        <w:spacing w:after="80" w:before="80"/>
      </w:pPr>
      <w:r>
        <w:t xml:space="preserve"/>
      </w:r>
    </w:p>
    <w:p>
      <w:pPr>
        <w:spacing w:after="80" w:before="80"/>
        <w:ind w:left="400"/>
      </w:pPr>
      <w:r>
        <w:rPr>
          <w:rFonts w:ascii="Calibri" w:cs="Calibri" w:eastAsia="Calibri" w:hAnsi="Calibri"/>
          <w:color w:val="1A1A2E"/>
          <w:sz w:val="22"/>
          <w:szCs w:val="22"/>
        </w:rPr>
        <w:t xml:space="preserve">•  Project Lead — GitHub repo management, branch control, PR reviews, team coordination</w:t>
      </w:r>
    </w:p>
    <w:p>
      <w:pPr>
        <w:spacing w:after="80" w:before="80"/>
        <w:ind w:left="400"/>
      </w:pPr>
      <w:r>
        <w:rPr>
          <w:rFonts w:ascii="Calibri" w:cs="Calibri" w:eastAsia="Calibri" w:hAnsi="Calibri"/>
          <w:color w:val="1A1A2E"/>
          <w:sz w:val="22"/>
          <w:szCs w:val="22"/>
        </w:rPr>
        <w:t xml:space="preserve">•  Core CLI Framework — Python main entry point, argument parsing, command orchestration</w:t>
      </w:r>
    </w:p>
    <w:p>
      <w:pPr>
        <w:spacing w:after="80" w:before="80"/>
        <w:ind w:left="400"/>
      </w:pPr>
      <w:r>
        <w:rPr>
          <w:rFonts w:ascii="Calibri" w:cs="Calibri" w:eastAsia="Calibri" w:hAnsi="Calibri"/>
          <w:color w:val="1A1A2E"/>
          <w:sz w:val="22"/>
          <w:szCs w:val="22"/>
        </w:rPr>
        <w:t xml:space="preserve">•  LLM Integration — OpenAI API, Claude API, Gemini API connections</w:t>
      </w:r>
    </w:p>
    <w:p>
      <w:pPr>
        <w:spacing w:after="80" w:before="80"/>
        <w:ind w:left="400"/>
      </w:pPr>
      <w:r>
        <w:rPr>
          <w:rFonts w:ascii="Calibri" w:cs="Calibri" w:eastAsia="Calibri" w:hAnsi="Calibri"/>
          <w:color w:val="1A1A2E"/>
          <w:sz w:val="22"/>
          <w:szCs w:val="22"/>
        </w:rPr>
        <w:t xml:space="preserve">•  Prompt Engineering — Design and optimize AI prompts for accurate security analysis</w:t>
      </w:r>
    </w:p>
    <w:p>
      <w:pPr>
        <w:spacing w:after="80" w:before="80"/>
        <w:ind w:left="400"/>
      </w:pPr>
      <w:r>
        <w:rPr>
          <w:rFonts w:ascii="Calibri" w:cs="Calibri" w:eastAsia="Calibri" w:hAnsi="Calibri"/>
          <w:color w:val="1A1A2E"/>
          <w:sz w:val="22"/>
          <w:szCs w:val="22"/>
        </w:rPr>
        <w:t xml:space="preserve">•  Ollama Setup — Local LLM support for offline/privacy mode</w:t>
      </w:r>
    </w:p>
    <w:p>
      <w:pPr>
        <w:spacing w:after="80" w:before="1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none" w:color="FFFFFF" w:sz="0"/>
              <w:left w:val="none" w:color="FFFFFF" w:sz="0"/>
              <w:bottom w:val="none" w:color="FFFFFF" w:sz="0"/>
              <w:right w:val="none" w:color="FFFFFF" w:sz="0"/>
            </w:tcBorders>
            <w:shd w:fill="1A1A2E" w:val="clear"/>
            <w:tcMar>
              <w:top w:type="dxa" w:w="100"/>
              <w:left w:type="dxa" w:w="200"/>
              <w:bottom w:type="dxa" w:w="100"/>
              <w:right w:type="dxa" w:w="200"/>
            </w:tcMar>
          </w:tcPr>
          <w:p>
            <w:r>
              <w:rPr>
                <w:rFonts w:ascii="Calibri" w:cs="Calibri" w:eastAsia="Calibri" w:hAnsi="Calibri"/>
                <w:b/>
                <w:bCs/>
                <w:color w:val="FFFFFF"/>
                <w:sz w:val="24"/>
                <w:szCs w:val="24"/>
              </w:rPr>
              <w:t xml:space="preserve">Affan Shaikh  —  </w:t>
            </w:r>
            <w:r>
              <w:rPr>
                <w:rFonts w:ascii="Calibri" w:cs="Calibri" w:eastAsia="Calibri" w:hAnsi="Calibri"/>
                <w:i/>
                <w:iCs/>
                <w:color w:val="FFFFFF"/>
                <w:sz w:val="24"/>
                <w:szCs w:val="24"/>
              </w:rPr>
              <w:t xml:space="preserve">Security Tools &amp; Scanning Engine</w:t>
            </w:r>
          </w:p>
        </w:tc>
      </w:tr>
    </w:tbl>
    <w:p>
      <w:pPr>
        <w:spacing w:after="80" w:before="80"/>
      </w:pPr>
      <w:r>
        <w:t xml:space="preserve"/>
      </w:r>
    </w:p>
    <w:p>
      <w:pPr>
        <w:spacing w:after="80" w:before="80"/>
        <w:ind w:left="400"/>
      </w:pPr>
      <w:r>
        <w:rPr>
          <w:rFonts w:ascii="Calibri" w:cs="Calibri" w:eastAsia="Calibri" w:hAnsi="Calibri"/>
          <w:color w:val="1A1A2E"/>
          <w:sz w:val="22"/>
          <w:szCs w:val="22"/>
        </w:rPr>
        <w:t xml:space="preserve">•  Nmap Integration — python-nmap wrapper, scan execution, raw output capture</w:t>
      </w:r>
    </w:p>
    <w:p>
      <w:pPr>
        <w:spacing w:after="80" w:before="80"/>
        <w:ind w:left="400"/>
      </w:pPr>
      <w:r>
        <w:rPr>
          <w:rFonts w:ascii="Calibri" w:cs="Calibri" w:eastAsia="Calibri" w:hAnsi="Calibri"/>
          <w:color w:val="1A1A2E"/>
          <w:sz w:val="22"/>
          <w:szCs w:val="22"/>
        </w:rPr>
        <w:t xml:space="preserve">•  Tool Orchestration — subprocess management for running security tools from CLI</w:t>
      </w:r>
    </w:p>
    <w:p>
      <w:pPr>
        <w:spacing w:after="80" w:before="80"/>
        <w:ind w:left="400"/>
      </w:pPr>
      <w:r>
        <w:rPr>
          <w:rFonts w:ascii="Calibri" w:cs="Calibri" w:eastAsia="Calibri" w:hAnsi="Calibri"/>
          <w:color w:val="1A1A2E"/>
          <w:sz w:val="22"/>
          <w:szCs w:val="22"/>
        </w:rPr>
        <w:t xml:space="preserve">•  Windows Event Log Ingestion — Windows Event Log API integration and parsing</w:t>
      </w:r>
    </w:p>
    <w:p>
      <w:pPr>
        <w:spacing w:after="80" w:before="80"/>
        <w:ind w:left="400"/>
      </w:pPr>
      <w:r>
        <w:rPr>
          <w:rFonts w:ascii="Calibri" w:cs="Calibri" w:eastAsia="Calibri" w:hAnsi="Calibri"/>
          <w:color w:val="1A1A2E"/>
          <w:sz w:val="22"/>
          <w:szCs w:val="22"/>
        </w:rPr>
        <w:t xml:space="preserve">•  MITRE ATT&amp;CK Mapping Engine — STIX/JSON data parsing and technique tagging</w:t>
      </w:r>
    </w:p>
    <w:p>
      <w:pPr>
        <w:spacing w:after="80" w:before="80"/>
        <w:ind w:left="400"/>
      </w:pPr>
      <w:r>
        <w:rPr>
          <w:rFonts w:ascii="Calibri" w:cs="Calibri" w:eastAsia="Calibri" w:hAnsi="Calibri"/>
          <w:color w:val="1A1A2E"/>
          <w:sz w:val="22"/>
          <w:szCs w:val="22"/>
        </w:rPr>
        <w:t xml:space="preserve">•  Human-in-the-loop Safety Layer — Command approval flow before execution</w:t>
      </w:r>
    </w:p>
    <w:p>
      <w:pPr>
        <w:spacing w:after="80" w:before="1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none" w:color="FFFFFF" w:sz="0"/>
              <w:left w:val="none" w:color="FFFFFF" w:sz="0"/>
              <w:bottom w:val="none" w:color="FFFFFF" w:sz="0"/>
              <w:right w:val="none" w:color="FFFFFF" w:sz="0"/>
            </w:tcBorders>
            <w:shd w:fill="E85D04" w:val="clear"/>
            <w:tcMar>
              <w:top w:type="dxa" w:w="100"/>
              <w:left w:type="dxa" w:w="200"/>
              <w:bottom w:type="dxa" w:w="100"/>
              <w:right w:type="dxa" w:w="200"/>
            </w:tcMar>
          </w:tcPr>
          <w:p>
            <w:r>
              <w:rPr>
                <w:rFonts w:ascii="Calibri" w:cs="Calibri" w:eastAsia="Calibri" w:hAnsi="Calibri"/>
                <w:b/>
                <w:bCs/>
                <w:color w:val="FFFFFF"/>
                <w:sz w:val="24"/>
                <w:szCs w:val="24"/>
              </w:rPr>
              <w:t xml:space="preserve">Suraj Yadav  —  </w:t>
            </w:r>
            <w:r>
              <w:rPr>
                <w:rFonts w:ascii="Calibri" w:cs="Calibri" w:eastAsia="Calibri" w:hAnsi="Calibri"/>
                <w:i/>
                <w:iCs/>
                <w:color w:val="FFFFFF"/>
                <w:sz w:val="24"/>
                <w:szCs w:val="24"/>
              </w:rPr>
              <w:t xml:space="preserve">Report Generation &amp; CVE Integration</w:t>
            </w:r>
          </w:p>
        </w:tc>
      </w:tr>
    </w:tbl>
    <w:p>
      <w:pPr>
        <w:spacing w:after="80" w:before="80"/>
      </w:pPr>
      <w:r>
        <w:t xml:space="preserve"/>
      </w:r>
    </w:p>
    <w:p>
      <w:pPr>
        <w:spacing w:after="80" w:before="80"/>
        <w:ind w:left="400"/>
      </w:pPr>
      <w:r>
        <w:rPr>
          <w:rFonts w:ascii="Calibri" w:cs="Calibri" w:eastAsia="Calibri" w:hAnsi="Calibri"/>
          <w:color w:val="1A1A2E"/>
          <w:sz w:val="22"/>
          <w:szCs w:val="22"/>
        </w:rPr>
        <w:t xml:space="preserve">•  Report Generation Engine — python-docx for DOCX, fpdf2 for PDF output</w:t>
      </w:r>
    </w:p>
    <w:p>
      <w:pPr>
        <w:spacing w:after="80" w:before="80"/>
        <w:ind w:left="400"/>
      </w:pPr>
      <w:r>
        <w:rPr>
          <w:rFonts w:ascii="Calibri" w:cs="Calibri" w:eastAsia="Calibri" w:hAnsi="Calibri"/>
          <w:color w:val="1A1A2E"/>
          <w:sz w:val="22"/>
          <w:szCs w:val="22"/>
        </w:rPr>
        <w:t xml:space="preserve">•  Markdown Reports — Technical report formatting for developer/GitHub use</w:t>
      </w:r>
    </w:p>
    <w:p>
      <w:pPr>
        <w:spacing w:after="80" w:before="80"/>
        <w:ind w:left="400"/>
      </w:pPr>
      <w:r>
        <w:rPr>
          <w:rFonts w:ascii="Calibri" w:cs="Calibri" w:eastAsia="Calibri" w:hAnsi="Calibri"/>
          <w:color w:val="1A1A2E"/>
          <w:sz w:val="22"/>
          <w:szCs w:val="22"/>
        </w:rPr>
        <w:t xml:space="preserve">•  CVE Lookup — NVD API integration for cross-referencing findings with known CVEs</w:t>
      </w:r>
    </w:p>
    <w:p>
      <w:pPr>
        <w:spacing w:after="80" w:before="80"/>
        <w:ind w:left="400"/>
      </w:pPr>
      <w:r>
        <w:rPr>
          <w:rFonts w:ascii="Calibri" w:cs="Calibri" w:eastAsia="Calibri" w:hAnsi="Calibri"/>
          <w:color w:val="1A1A2E"/>
          <w:sz w:val="22"/>
          <w:szCs w:val="22"/>
        </w:rPr>
        <w:t xml:space="preserve">•  Jinja2 Templating — Dynamic report content generation from analysis results</w:t>
      </w:r>
    </w:p>
    <w:p>
      <w:pPr>
        <w:spacing w:after="80" w:before="80"/>
        <w:ind w:left="400"/>
      </w:pPr>
      <w:r>
        <w:rPr>
          <w:rFonts w:ascii="Calibri" w:cs="Calibri" w:eastAsia="Calibri" w:hAnsi="Calibri"/>
          <w:color w:val="1A1A2E"/>
          <w:sz w:val="22"/>
          <w:szCs w:val="22"/>
        </w:rPr>
        <w:t xml:space="preserve">•  Severity Scoring — Risk score calculation and priority ranking of findings</w:t>
      </w:r>
    </w:p>
    <w:p>
      <w:pPr>
        <w:spacing w:after="80" w:before="1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none" w:color="FFFFFF" w:sz="0"/>
              <w:left w:val="none" w:color="FFFFFF" w:sz="0"/>
              <w:bottom w:val="none" w:color="FFFFFF" w:sz="0"/>
              <w:right w:val="none" w:color="FFFFFF" w:sz="0"/>
            </w:tcBorders>
            <w:shd w:fill="1A1A2E" w:val="clear"/>
            <w:tcMar>
              <w:top w:type="dxa" w:w="100"/>
              <w:left w:type="dxa" w:w="200"/>
              <w:bottom w:type="dxa" w:w="100"/>
              <w:right w:type="dxa" w:w="200"/>
            </w:tcMar>
          </w:tcPr>
          <w:p>
            <w:r>
              <w:rPr>
                <w:rFonts w:ascii="Calibri" w:cs="Calibri" w:eastAsia="Calibri" w:hAnsi="Calibri"/>
                <w:b/>
                <w:bCs/>
                <w:color w:val="FFFFFF"/>
                <w:sz w:val="24"/>
                <w:szCs w:val="24"/>
              </w:rPr>
              <w:t xml:space="preserve">Sneha Das  —  </w:t>
            </w:r>
            <w:r>
              <w:rPr>
                <w:rFonts w:ascii="Calibri" w:cs="Calibri" w:eastAsia="Calibri" w:hAnsi="Calibri"/>
                <w:i/>
                <w:iCs/>
                <w:color w:val="FFFFFF"/>
                <w:sz w:val="24"/>
                <w:szCs w:val="24"/>
              </w:rPr>
              <w:t xml:space="preserve">OWASP Mapping, Testing &amp; Documentation</w:t>
            </w:r>
          </w:p>
        </w:tc>
      </w:tr>
    </w:tbl>
    <w:p>
      <w:pPr>
        <w:spacing w:after="80" w:before="80"/>
      </w:pPr>
      <w:r>
        <w:t xml:space="preserve"/>
      </w:r>
    </w:p>
    <w:p>
      <w:pPr>
        <w:spacing w:after="80" w:before="80"/>
        <w:ind w:left="400"/>
      </w:pPr>
      <w:r>
        <w:rPr>
          <w:rFonts w:ascii="Calibri" w:cs="Calibri" w:eastAsia="Calibri" w:hAnsi="Calibri"/>
          <w:color w:val="1A1A2E"/>
          <w:sz w:val="22"/>
          <w:szCs w:val="22"/>
        </w:rPr>
        <w:t xml:space="preserve">•  OWASP Top 10 Mapping Engine — JSON data parsing and web vulnerability categorization</w:t>
      </w:r>
    </w:p>
    <w:p>
      <w:pPr>
        <w:spacing w:after="80" w:before="80"/>
        <w:ind w:left="400"/>
      </w:pPr>
      <w:r>
        <w:rPr>
          <w:rFonts w:ascii="Calibri" w:cs="Calibri" w:eastAsia="Calibri" w:hAnsi="Calibri"/>
          <w:color w:val="1A1A2E"/>
          <w:sz w:val="22"/>
          <w:szCs w:val="22"/>
        </w:rPr>
        <w:t xml:space="preserve">•  Remediation Steps Generator — Actionable, code-level fix instructions per finding</w:t>
      </w:r>
    </w:p>
    <w:p>
      <w:pPr>
        <w:spacing w:after="80" w:before="80"/>
        <w:ind w:left="400"/>
      </w:pPr>
      <w:r>
        <w:rPr>
          <w:rFonts w:ascii="Calibri" w:cs="Calibri" w:eastAsia="Calibri" w:hAnsi="Calibri"/>
          <w:color w:val="1A1A2E"/>
          <w:sz w:val="22"/>
          <w:szCs w:val="22"/>
        </w:rPr>
        <w:t xml:space="preserve">•  pytest Test Suite — Unit and integration tests across all modules</w:t>
      </w:r>
    </w:p>
    <w:p>
      <w:pPr>
        <w:spacing w:after="80" w:before="80"/>
        <w:ind w:left="400"/>
      </w:pPr>
      <w:r>
        <w:rPr>
          <w:rFonts w:ascii="Calibri" w:cs="Calibri" w:eastAsia="Calibri" w:hAnsi="Calibri"/>
          <w:color w:val="1A1A2E"/>
          <w:sz w:val="22"/>
          <w:szCs w:val="22"/>
        </w:rPr>
        <w:t xml:space="preserve">•  Cross-platform Testing — Windows + Linux compatibility verification</w:t>
      </w:r>
    </w:p>
    <w:p>
      <w:pPr>
        <w:spacing w:after="80" w:before="80"/>
        <w:ind w:left="400"/>
      </w:pPr>
      <w:r>
        <w:rPr>
          <w:rFonts w:ascii="Calibri" w:cs="Calibri" w:eastAsia="Calibri" w:hAnsi="Calibri"/>
          <w:color w:val="1A1A2E"/>
          <w:sz w:val="22"/>
          <w:szCs w:val="22"/>
        </w:rPr>
        <w:t xml:space="preserve">•  Documentation — README, usage guides, and project wiki on GitHub</w:t>
      </w:r>
    </w:p>
    <w:p>
      <w:pPr>
        <w:spacing w:after="100" w:before="100"/>
      </w:pPr>
      <w:r>
        <w:t xml:space="preserve"/>
      </w:r>
    </w:p>
    <w:p>
      <w:pPr>
        <w:pBdr>
          <w:bottom w:val="single" w:color="DDDDDD" w:sz="4"/>
        </w:pBdr>
        <w:spacing w:after="200" w:before="200"/>
      </w:pPr>
      <w:r>
        <w:t xml:space="preserve"/>
      </w:r>
    </w:p>
    <w:p>
      <w:pPr>
        <w:pBdr>
          <w:bottom w:val="single" w:color="E85D04" w:sz="8"/>
        </w:pBdr>
        <w:spacing w:after="160" w:before="400"/>
      </w:pPr>
      <w:r>
        <w:rPr>
          <w:rFonts w:ascii="Calibri" w:cs="Calibri" w:eastAsia="Calibri" w:hAnsi="Calibri"/>
          <w:b/>
          <w:bCs/>
          <w:color w:val="E85D04"/>
          <w:sz w:val="36"/>
          <w:szCs w:val="36"/>
        </w:rPr>
        <w:t xml:space="preserve">12  </w:t>
      </w:r>
      <w:r>
        <w:rPr>
          <w:rFonts w:ascii="Calibri" w:cs="Calibri" w:eastAsia="Calibri" w:hAnsi="Calibri"/>
          <w:b/>
          <w:bCs/>
          <w:color w:val="1A1A2E"/>
          <w:sz w:val="36"/>
          <w:szCs w:val="36"/>
        </w:rPr>
        <w:t xml:space="preserve">Open Questions</w:t>
      </w:r>
    </w:p>
    <w:p>
      <w:pPr>
        <w:spacing w:after="100" w:before="100"/>
      </w:pPr>
      <w:r>
        <w:t xml:space="preserve"/>
      </w:r>
    </w:p>
    <w:p>
      <w:pPr>
        <w:spacing w:after="80" w:before="80"/>
        <w:ind w:left="400"/>
      </w:pPr>
      <w:r>
        <w:rPr>
          <w:rFonts w:ascii="Calibri" w:cs="Calibri" w:eastAsia="Calibri" w:hAnsi="Calibri"/>
          <w:color w:val="1A1A2E"/>
          <w:sz w:val="22"/>
          <w:szCs w:val="22"/>
        </w:rPr>
        <w:t xml:space="preserve">•  Which LLM gives the most accurate MITRE ATT&amp;CK mapping — GPT-4o, Claude Sonnet, or Gemini Pro? (needs benchmark testing)</w:t>
      </w:r>
    </w:p>
    <w:p>
      <w:pPr>
        <w:spacing w:after="80" w:before="80"/>
        <w:ind w:left="400"/>
      </w:pPr>
      <w:r>
        <w:rPr>
          <w:rFonts w:ascii="Calibri" w:cs="Calibri" w:eastAsia="Calibri" w:hAnsi="Calibri"/>
          <w:color w:val="1A1A2E"/>
          <w:sz w:val="22"/>
          <w:szCs w:val="22"/>
        </w:rPr>
        <w:t xml:space="preserve">•  Should the default free tier use Ollama only, or allow limited cloud API calls? (affects onboarding friction vs. privacy)</w:t>
      </w:r>
    </w:p>
    <w:p>
      <w:pPr>
        <w:spacing w:after="80" w:before="80"/>
        <w:ind w:left="400"/>
      </w:pPr>
      <w:r>
        <w:rPr>
          <w:rFonts w:ascii="Calibri" w:cs="Calibri" w:eastAsia="Calibri" w:hAnsi="Calibri"/>
          <w:color w:val="1A1A2E"/>
          <w:sz w:val="22"/>
          <w:szCs w:val="22"/>
        </w:rPr>
        <w:t xml:space="preserve">•  How do we handle MITRE technique mapping for Windows Event Logs specifically — does the STIX dataset cover enough Windows-specific techniques?</w:t>
      </w:r>
    </w:p>
    <w:p>
      <w:pPr>
        <w:spacing w:after="80" w:before="80"/>
        <w:ind w:left="400"/>
      </w:pPr>
      <w:r>
        <w:rPr>
          <w:rFonts w:ascii="Calibri" w:cs="Calibri" w:eastAsia="Calibri" w:hAnsi="Calibri"/>
          <w:color w:val="1A1A2E"/>
          <w:sz w:val="22"/>
          <w:szCs w:val="22"/>
        </w:rPr>
        <w:t xml:space="preserve">•  What is the minimum viable Nmap scan depth that gives useful results without requiring admin/root privileges?</w:t>
      </w:r>
    </w:p>
    <w:p>
      <w:pPr>
        <w:spacing w:after="80" w:before="80"/>
        <w:ind w:left="400"/>
      </w:pPr>
      <w:r>
        <w:rPr>
          <w:rFonts w:ascii="Calibri" w:cs="Calibri" w:eastAsia="Calibri" w:hAnsi="Calibri"/>
          <w:color w:val="1A1A2E"/>
          <w:sz w:val="22"/>
          <w:szCs w:val="22"/>
        </w:rPr>
        <w:t xml:space="preserve">•  Should report templates be user-customizable or fixed format for MVP?</w:t>
      </w:r>
    </w:p>
    <w:p>
      <w:pPr>
        <w:spacing w:after="80" w:before="80"/>
        <w:ind w:left="400"/>
      </w:pPr>
      <w:r>
        <w:rPr>
          <w:rFonts w:ascii="Calibri" w:cs="Calibri" w:eastAsia="Calibri" w:hAnsi="Calibri"/>
          <w:color w:val="1A1A2E"/>
          <w:sz w:val="22"/>
          <w:szCs w:val="22"/>
        </w:rPr>
        <w:t xml:space="preserve">•  Do we need a web UI for the hackathon demo, or is a CLI-only demo strong enough for judges?</w:t>
      </w:r>
    </w:p>
    <w:p>
      <w:pPr>
        <w:spacing w:after="80" w:before="80"/>
        <w:ind w:left="400"/>
      </w:pPr>
      <w:r>
        <w:rPr>
          <w:rFonts w:ascii="Calibri" w:cs="Calibri" w:eastAsia="Calibri" w:hAnsi="Calibri"/>
          <w:color w:val="1A1A2E"/>
          <w:sz w:val="22"/>
          <w:szCs w:val="22"/>
        </w:rPr>
        <w:t xml:space="preserve">•  How do we validate our MITRE mapping accuracy — what ground truth dataset do we test against?</w:t>
      </w:r>
    </w:p>
    <w:p>
      <w:pPr>
        <w:spacing w:after="80" w:before="200"/>
      </w:pPr>
      <w:r>
        <w:t xml:space="preserve"/>
      </w:r>
    </w:p>
    <w:p>
      <w:pPr>
        <w:pBdr>
          <w:bottom w:val="single" w:color="DDDDDD" w:sz="4"/>
        </w:pBdr>
        <w:spacing w:after="200" w:before="200"/>
      </w:pPr>
      <w:r>
        <w:t xml:space="preserve"/>
      </w:r>
    </w:p>
    <w:p>
      <w:pPr>
        <w:spacing w:after="60" w:before="200"/>
        <w:jc w:val="center"/>
      </w:pPr>
      <w:r>
        <w:rPr>
          <w:rFonts w:ascii="Calibri" w:cs="Calibri" w:eastAsia="Calibri" w:hAnsi="Calibri"/>
          <w:b/>
          <w:bCs/>
          <w:color w:val="E85D04"/>
          <w:sz w:val="24"/>
          <w:szCs w:val="24"/>
        </w:rPr>
        <w:t xml:space="preserve">SentinelAI CLI  —  Learn. Analyze. Secure.</w:t>
      </w:r>
    </w:p>
    <w:p>
      <w:pPr>
        <w:spacing w:after="80" w:before="60"/>
        <w:jc w:val="center"/>
      </w:pPr>
      <w:r>
        <w:rPr>
          <w:rFonts w:ascii="Calibri" w:cs="Calibri" w:eastAsia="Calibri" w:hAnsi="Calibri"/>
          <w:color w:val="888888"/>
          <w:sz w:val="20"/>
          <w:szCs w:val="20"/>
        </w:rPr>
        <w:t xml:space="preserve">Team Finatics  |  CodeQuest 4.0  |  July 2026  |  v1.0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2026-07-08T06:46:32.700Z</dcterms:created>
  <dcterms:modified xsi:type="dcterms:W3CDTF">2026-07-08T06:46:32.715Z</dcterms:modified>
</cp:coreProperties>
</file>

<file path=docProps/custom.xml><?xml version="1.0" encoding="utf-8"?>
<Properties xmlns="http://schemas.openxmlformats.org/officeDocument/2006/custom-properties" xmlns:vt="http://schemas.openxmlformats.org/officeDocument/2006/docPropsVTypes"/>
</file>