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SentinelAI CLI Security Report</w:t>
      </w:r>
    </w:p>
    <w:p/>
    <w:p>
      <w:pPr>
        <w:pStyle w:val="Heading1"/>
      </w:pPr>
      <w:r>
        <w:t>Executive Summary</w:t>
      </w:r>
    </w:p>
    <w:p>
      <w:r>
        <w:t>SentinelAI analyzed the target system (192.168.1.10) and identified 5 security findings. These include 0 Critical, 1 High, 0 Medium, and 0 Low severity issues. Known vulnerabilities were correlated with the NVD database where applicable. Priority remediation is recommended for Critical and High findings.</w:t>
      </w:r>
    </w:p>
    <w:p>
      <w:pPr>
        <w:pStyle w:val="Heading2"/>
      </w:pPr>
      <w:r>
        <w:t>Scan Information</w:t>
      </w:r>
    </w:p>
    <w:p>
      <w:r>
        <w:t>Target IP: 192.168.1.10</w:t>
      </w:r>
    </w:p>
    <w:p>
      <w:r>
        <w:t>Scan Type: Nmap Basic Scan</w:t>
      </w:r>
    </w:p>
    <w:p>
      <w:r>
        <w:t>Generated By: SentinelAI CLI</w:t>
      </w:r>
    </w:p>
    <w:p>
      <w:r>
        <w:t>Date: 18 September 2026, 01:02 PM</w:t>
      </w:r>
    </w:p>
    <w:p>
      <w:pPr>
        <w:pStyle w:val="Heading2"/>
      </w:pPr>
      <w:r>
        <w:t>Security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Port</w:t>
            </w:r>
          </w:p>
        </w:tc>
        <w:tc>
          <w:tcPr>
            <w:tcW w:type="dxa" w:w="2160"/>
          </w:tcPr>
          <w:p>
            <w:r>
              <w:t>Service</w:t>
            </w:r>
          </w:p>
        </w:tc>
        <w:tc>
          <w:tcPr>
            <w:tcW w:type="dxa" w:w="2160"/>
          </w:tcPr>
          <w:p>
            <w:r>
              <w:t>Severity</w:t>
            </w:r>
          </w:p>
        </w:tc>
        <w:tc>
          <w:tcPr>
            <w:tcW w:type="dxa" w:w="2160"/>
          </w:tcPr>
          <w:p>
            <w:r>
              <w:t>Status</w:t>
            </w:r>
          </w:p>
        </w:tc>
      </w:tr>
      <w:tr>
        <w:tc>
          <w:tcPr>
            <w:tcW w:type="dxa" w:w="2160"/>
          </w:tcPr>
          <w:p>
            <w:r>
              <w:t>80</w:t>
            </w:r>
          </w:p>
        </w:tc>
        <w:tc>
          <w:tcPr>
            <w:tcW w:type="dxa" w:w="2160"/>
          </w:tcPr>
          <w:p>
            <w:r>
              <w:t>Apache HTTP</w:t>
            </w:r>
          </w:p>
        </w:tc>
        <w:tc>
          <w:tcPr>
            <w:tcW w:type="dxa" w:w="2160"/>
          </w:tcPr>
          <w:p>
            <w:r>
              <w:rPr>
                <w:color w:val="FF8C00"/>
              </w:rPr>
              <w:t>High</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bl>
    <w:p>
      <w:pPr>
        <w:pStyle w:val="Heading2"/>
      </w:pPr>
      <w:r>
        <w:t>Windows Event Logs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Event ID</w:t>
            </w:r>
          </w:p>
        </w:tc>
        <w:tc>
          <w:tcPr>
            <w:tcW w:type="dxa" w:w="2160"/>
          </w:tcPr>
          <w:p>
            <w:r>
              <w:t>Time</w:t>
            </w:r>
          </w:p>
        </w:tc>
        <w:tc>
          <w:tcPr>
            <w:tcW w:type="dxa" w:w="2160"/>
          </w:tcPr>
          <w:p>
            <w:r>
              <w:t>User</w:t>
            </w:r>
          </w:p>
        </w:tc>
        <w:tc>
          <w:tcPr>
            <w:tcW w:type="dxa" w:w="2160"/>
          </w:tcPr>
          <w:p>
            <w:r>
              <w:t>Description</w:t>
            </w:r>
          </w:p>
        </w:tc>
      </w:tr>
      <w:tr>
        <w:tc>
          <w:tcPr>
            <w:tcW w:type="dxa" w:w="2160"/>
          </w:tcPr>
          <w:p>
            <w:r>
              <w:t>4625</w:t>
            </w:r>
          </w:p>
        </w:tc>
        <w:tc>
          <w:tcPr>
            <w:tcW w:type="dxa" w:w="2160"/>
          </w:tcPr>
          <w:p>
            <w:r>
              <w:t>02 August 2026, 11:15 AM</w:t>
            </w:r>
          </w:p>
        </w:tc>
        <w:tc>
          <w:tcPr>
            <w:tcW w:type="dxa" w:w="2160"/>
          </w:tcPr>
          <w:p>
            <w:r>
              <w:t>Administrator</w:t>
            </w:r>
          </w:p>
        </w:tc>
        <w:tc>
          <w:tcPr>
            <w:tcW w:type="dxa" w:w="2160"/>
          </w:tcPr>
          <w:p>
            <w:r>
              <w:t>Failed Login Attempt</w:t>
            </w:r>
          </w:p>
        </w:tc>
      </w:tr>
      <w:tr>
        <w:tc>
          <w:tcPr>
            <w:tcW w:type="dxa" w:w="2160"/>
          </w:tcPr>
          <w:p>
            <w:r>
              <w:t>4720</w:t>
            </w:r>
          </w:p>
        </w:tc>
        <w:tc>
          <w:tcPr>
            <w:tcW w:type="dxa" w:w="2160"/>
          </w:tcPr>
          <w:p>
            <w:r>
              <w:t>02 August 2026, 11:25 AM</w:t>
            </w:r>
          </w:p>
        </w:tc>
        <w:tc>
          <w:tcPr>
            <w:tcW w:type="dxa" w:w="2160"/>
          </w:tcPr>
          <w:p>
            <w:r>
              <w:t>John</w:t>
            </w:r>
          </w:p>
        </w:tc>
        <w:tc>
          <w:tcPr>
            <w:tcW w:type="dxa" w:w="2160"/>
          </w:tcPr>
          <w:p>
            <w:r>
              <w:t>New User Account Created</w:t>
            </w:r>
          </w:p>
        </w:tc>
      </w:tr>
    </w:tbl>
    <w:p/>
    <w:p>
      <w:pPr>
        <w:pStyle w:val="Heading2"/>
      </w:pPr>
      <w:r>
        <w:t>MITRE ATT&amp;CK Mapping</w:t>
      </w:r>
    </w:p>
    <w:tbl>
      <w:tblPr>
        <w:tblStyle w:val="TableGrid"/>
        <w:tblW w:type="auto" w:w="0"/>
        <w:tblLook w:firstColumn="1" w:firstRow="1" w:lastColumn="0" w:lastRow="0" w:noHBand="0" w:noVBand="1" w:val="04A0"/>
      </w:tblPr>
      <w:tblGrid>
        <w:gridCol w:w="4320"/>
        <w:gridCol w:w="4320"/>
      </w:tblGrid>
      <w:tr>
        <w:tc>
          <w:tcPr>
            <w:tcW w:type="dxa" w:w="4320"/>
          </w:tcPr>
          <w:p>
            <w:r>
              <w:t>Technique ID</w:t>
            </w:r>
          </w:p>
        </w:tc>
        <w:tc>
          <w:tcPr>
            <w:tcW w:type="dxa" w:w="4320"/>
          </w:tcPr>
          <w:p>
            <w:r>
              <w:t>Technique Name</w:t>
            </w:r>
          </w:p>
        </w:tc>
      </w:tr>
      <w:tr>
        <w:tc>
          <w:tcPr>
            <w:tcW w:type="dxa" w:w="4320"/>
          </w:tcPr>
          <w:p>
            <w:r>
              <w:t>T1021</w:t>
            </w:r>
          </w:p>
        </w:tc>
        <w:tc>
          <w:tcPr>
            <w:tcW w:type="dxa" w:w="4320"/>
          </w:tcPr>
          <w:p>
            <w:r>
              <w:t>Remote Services</w:t>
            </w:r>
          </w:p>
        </w:tc>
      </w:tr>
      <w:tr>
        <w:tc>
          <w:tcPr>
            <w:tcW w:type="dxa" w:w="4320"/>
          </w:tcPr>
          <w:p>
            <w:r>
              <w:t>T1110</w:t>
            </w:r>
          </w:p>
        </w:tc>
        <w:tc>
          <w:tcPr>
            <w:tcW w:type="dxa" w:w="4320"/>
          </w:tcPr>
          <w:p>
            <w:r>
              <w:t>Brute Force</w:t>
            </w:r>
          </w:p>
        </w:tc>
      </w:tr>
    </w:tbl>
    <w:p/>
    <w:p>
      <w:pPr>
        <w:pStyle w:val="Heading2"/>
      </w:pPr>
      <w:r>
        <w:t>OWASP Top 10 Mapping</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OWASP Vulnerability</w:t>
            </w:r>
          </w:p>
        </w:tc>
      </w:tr>
      <w:tr>
        <w:tc>
          <w:tcPr>
            <w:tcW w:type="dxa" w:w="4320"/>
          </w:tcPr>
          <w:p>
            <w:r>
              <w:t>A06</w:t>
            </w:r>
          </w:p>
        </w:tc>
        <w:tc>
          <w:tcPr>
            <w:tcW w:type="dxa" w:w="4320"/>
          </w:tcPr>
          <w:p>
            <w:r>
              <w:t>Vulnerable and Outdated Components</w:t>
            </w:r>
          </w:p>
        </w:tc>
      </w:tr>
      <w:tr>
        <w:tc>
          <w:tcPr>
            <w:tcW w:type="dxa" w:w="4320"/>
          </w:tcPr>
          <w:p>
            <w:r>
              <w:t>A07</w:t>
            </w:r>
          </w:p>
        </w:tc>
        <w:tc>
          <w:tcPr>
            <w:tcW w:type="dxa" w:w="4320"/>
          </w:tcPr>
          <w:p>
            <w:r>
              <w:t>Identification and Authentication Failures</w:t>
            </w:r>
          </w:p>
        </w:tc>
      </w:tr>
    </w:tbl>
    <w:p/>
    <w:p>
      <w:pPr>
        <w:pStyle w:val="Heading2"/>
      </w:pPr>
      <w:r>
        <w:t>Remediation Steps</w:t>
      </w:r>
    </w:p>
    <w:p>
      <w:pPr>
        <w:pStyle w:val="Heading3"/>
      </w:pPr>
      <w:r>
        <w:t>Apache HTTP Server (High Severity)</w:t>
      </w:r>
    </w:p>
    <w:p>
      <w:pPr>
        <w:pStyle w:val="ListBullet"/>
      </w:pPr>
      <w:r>
        <w:t>Update Apache to the latest stable version.</w:t>
      </w:r>
    </w:p>
    <w:p>
      <w:pPr>
        <w:pStyle w:val="ListBullet"/>
      </w:pPr>
      <w:r>
        <w:t>Apply all available security patches.</w:t>
      </w:r>
    </w:p>
    <w:p>
      <w:pPr>
        <w:pStyle w:val="ListBullet"/>
      </w:pPr>
      <w:r>
        <w:t>Disable unnecessary Apache modules.</w:t>
      </w:r>
    </w:p>
    <w:p>
      <w:pPr>
        <w:pStyle w:val="ListBullet"/>
      </w:pPr>
      <w:r>
        <w:t>Enable HTTPS using a valid TLS certificate.</w:t>
      </w:r>
    </w:p>
    <w:p/>
    <w:p>
      <w:pPr>
        <w:pStyle w:val="Heading3"/>
      </w:pPr>
      <w:r>
        <w:t>Failed Login Attempts (Medium Severity)</w:t>
      </w:r>
    </w:p>
    <w:p>
      <w:pPr>
        <w:pStyle w:val="ListBullet"/>
      </w:pPr>
      <w:r>
        <w:t>Review failed login attempts.</w:t>
      </w:r>
    </w:p>
    <w:p>
      <w:pPr>
        <w:pStyle w:val="ListBullet"/>
      </w:pPr>
      <w:r>
        <w:t>Enable account lockout policy.</w:t>
      </w:r>
    </w:p>
    <w:p>
      <w:pPr>
        <w:pStyle w:val="ListBullet"/>
      </w:pPr>
      <w:r>
        <w:t>Use strong passwords.</w:t>
      </w:r>
    </w:p>
    <w:p>
      <w:pPr>
        <w:pStyle w:val="ListBullet"/>
      </w:pPr>
      <w:r>
        <w:t>Enable Multi-Factor Authentication (MFA).</w:t>
      </w:r>
    </w:p>
    <w:p/>
    <w:p>
      <w:pPr>
        <w:pStyle w:val="Heading2"/>
      </w:pPr>
      <w:r>
        <w:t>Summary</w:t>
      </w:r>
    </w:p>
    <w:p>
      <w:r>
        <w:t>This report presents the results of the security assessment performed on the target system (192.168.1.10) using the Nmap Basic Scan. During the scan, a total of 5 security findings were identified. The assessment detected 0 Critical, 1 High, 0 Medium, and 0 Low severity findings. Based on these results, it is recommended to review the identified services and implement the necessary security updates and remediation measures to reduce potential security risks.</w:t>
      </w:r>
    </w:p>
    <w:p/>
    <w:p>
      <w:pPr>
        <w:pStyle w:val="Heading3"/>
      </w:pPr>
      <w:r>
        <w:t>Severity Statistics</w:t>
      </w:r>
    </w:p>
    <w:p>
      <w:r>
        <w:t>• Total Findings: 5</w:t>
        <w:br/>
      </w:r>
      <w:r>
        <w:t>• Critical Severity: 0</w:t>
        <w:br/>
      </w:r>
      <w:r>
        <w:t>• High Severity: 1</w:t>
        <w:br/>
      </w:r>
      <w:r>
        <w:t>• Medium Severity: 0</w:t>
        <w:br/>
      </w:r>
      <w:r>
        <w:t>• Low Severity: 0</w:t>
      </w:r>
    </w:p>
    <w:p>
      <w:pPr>
        <w:pStyle w:val="Heading2"/>
      </w:pPr>
      <w:r>
        <w:t>Conclusion</w:t>
      </w:r>
    </w:p>
    <w:p>
      <w:r>
        <w:t>The generated report provides a structured overview of the detected services and their associated security severity levels. Although the current implementation uses sample findings, the reporting engine is now fully dynamic and ready to integrate with real scan results from the SentinelAI scanning modules. This establishes a scalable foundation for automated vulnerability assessment and reporting.</w:t>
      </w:r>
    </w:p>
    <w:p>
      <w:pPr>
        <w:pStyle w:val="Heading2"/>
      </w:pPr>
      <w:r>
        <w:t>Future Enhancements</w:t>
      </w:r>
    </w:p>
    <w:p>
      <w:r>
        <w:t>• Integration with live Nmap scan results</w:t>
        <w:br/>
        <w:t>• Automatic CVE lookup using the NVD API</w:t>
        <w:br/>
        <w:t>• CVSS-based risk scoring and prioritization</w:t>
        <w:br/>
        <w:t>• MITRE ATT&amp;CK framework mapping</w:t>
        <w:br/>
        <w:t>• OWASP Top 10 vulnerability mapping</w:t>
        <w:br/>
        <w:t>• AI-generated explanations and remediation suggestions</w:t>
        <w:br/>
        <w:t>• Interactive dashboard for scan history and analytics</w:t>
        <w:br/>
        <w:t>• PDF and HTML report generation</w:t>
        <w:br/>
        <w:t>• Scheduled automated security scans</w:t>
        <w:br/>
        <w:t>• Multi-host network scanning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