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F4E78"/>
          <w:sz w:val="48"/>
        </w:rPr>
        <w:t>TI 板 V0.1 开发说明文档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404040"/>
          <w:sz w:val="26"/>
        </w:rPr>
        <w:t>MSPM0G3507 基于视觉的 Task 3 实时控制工程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文档版本</w:t>
            </w:r>
          </w:p>
        </w:tc>
        <w:tc>
          <w:tcPr>
            <w:tcW w:type="dxa" w:w="492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20"/>
              </w:rPr>
              <w:t>v0.1</w:t>
            </w:r>
          </w:p>
        </w:tc>
      </w:tr>
      <w:tr>
        <w:tc>
          <w:tcPr>
            <w:tcW w:type="dxa" w:w="4929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项目</w:t>
            </w:r>
          </w:p>
        </w:tc>
        <w:tc>
          <w:tcPr>
            <w:tcW w:type="dxa" w:w="492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20"/>
              </w:rPr>
              <w:t>VisionControlandWirelessComm / 车载平衡滚球运动控制系统</w:t>
            </w:r>
          </w:p>
        </w:tc>
      </w:tr>
      <w:tr>
        <w:tc>
          <w:tcPr>
            <w:tcW w:type="dxa" w:w="4929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代码基线</w:t>
            </w:r>
          </w:p>
        </w:tc>
        <w:tc>
          <w:tcPr>
            <w:tcW w:type="dxa" w:w="492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20"/>
              </w:rPr>
              <w:t>硬件：MSPM0G3507 + Emm V5.0；视觉节点：Raspberry Pi 5</w:t>
            </w:r>
          </w:p>
        </w:tc>
      </w:tr>
      <w:tr>
        <w:tc>
          <w:tcPr>
            <w:tcW w:type="dxa" w:w="4929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编制日期</w:t>
            </w:r>
          </w:p>
        </w:tc>
        <w:tc>
          <w:tcPr>
            <w:tcW w:type="dxa" w:w="492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20"/>
              </w:rPr>
              <w:t>2026-07-30</w:t>
            </w:r>
          </w:p>
        </w:tc>
      </w:tr>
    </w:tbl>
    <w:p>
      <w:pPr>
        <w:spacing w:before="1200"/>
        <w:jc w:val="center"/>
      </w:pPr>
      <w:r>
        <w:rPr>
          <w:rFonts w:ascii="Noto Sans CJK SC" w:hAnsi="Noto Sans CJK SC" w:eastAsia="Noto Sans CJK SC"/>
          <w:color w:val="666666"/>
          <w:sz w:val="20"/>
        </w:rPr>
        <w:t>用途：作为后续代码实现、联调、验收和版本迭代的唯一工程依据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ind w:left="0"/>
      </w:pPr>
      <w:r>
        <w:rPr>
          <w:rFonts w:ascii="Noto Sans CJK SC" w:hAnsi="Noto Sans CJK SC" w:eastAsia="Noto Sans CJK SC"/>
          <w:sz w:val="20"/>
        </w:rPr>
        <w:t>1. 工程定位与完成边界</w:t>
      </w:r>
    </w:p>
    <w:p>
      <w:pPr>
        <w:ind w:left="0"/>
      </w:pPr>
      <w:r>
        <w:rPr>
          <w:rFonts w:ascii="Noto Sans CJK SC" w:hAnsi="Noto Sans CJK SC" w:eastAsia="Noto Sans CJK SC"/>
          <w:sz w:val="20"/>
        </w:rPr>
        <w:t>2. 已确认硬件与接口</w:t>
      </w:r>
    </w:p>
    <w:p>
      <w:pPr>
        <w:ind w:left="0"/>
      </w:pPr>
      <w:r>
        <w:rPr>
          <w:rFonts w:ascii="Noto Sans CJK SC" w:hAnsi="Noto Sans CJK SC" w:eastAsia="Noto Sans CJK SC"/>
          <w:sz w:val="20"/>
        </w:rPr>
        <w:t>3. 主控职责与系统架构</w:t>
      </w:r>
    </w:p>
    <w:p>
      <w:pPr>
        <w:ind w:left="0"/>
      </w:pPr>
      <w:r>
        <w:rPr>
          <w:rFonts w:ascii="Noto Sans CJK SC" w:hAnsi="Noto Sans CJK SC" w:eastAsia="Noto Sans CJK SC"/>
          <w:sz w:val="20"/>
        </w:rPr>
        <w:t>4. 工程目录与模块职责</w:t>
      </w:r>
    </w:p>
    <w:p>
      <w:pPr>
        <w:ind w:left="0"/>
      </w:pPr>
      <w:r>
        <w:rPr>
          <w:rFonts w:ascii="Noto Sans CJK SC" w:hAnsi="Noto Sans CJK SC" w:eastAsia="Noto Sans CJK SC"/>
          <w:sz w:val="20"/>
        </w:rPr>
        <w:t>5. 调度模型和数据所有权</w:t>
      </w:r>
    </w:p>
    <w:p>
      <w:pPr>
        <w:ind w:left="0"/>
      </w:pPr>
      <w:r>
        <w:rPr>
          <w:rFonts w:ascii="Noto Sans CJK SC" w:hAnsi="Noto Sans CJK SC" w:eastAsia="Noto Sans CJK SC"/>
          <w:sz w:val="20"/>
        </w:rPr>
        <w:t>6. Pi-TI 协议</w:t>
      </w:r>
    </w:p>
    <w:p>
      <w:pPr>
        <w:ind w:left="0"/>
      </w:pPr>
      <w:r>
        <w:rPr>
          <w:rFonts w:ascii="Noto Sans CJK SC" w:hAnsi="Noto Sans CJK SC" w:eastAsia="Noto Sans CJK SC"/>
          <w:sz w:val="20"/>
        </w:rPr>
        <w:t>7. Emm V5.0 电机层设计</w:t>
      </w:r>
    </w:p>
    <w:p>
      <w:pPr>
        <w:ind w:left="0"/>
      </w:pPr>
      <w:r>
        <w:rPr>
          <w:rFonts w:ascii="Noto Sans CJK SC" w:hAnsi="Noto Sans CJK SC" w:eastAsia="Noto Sans CJK SC"/>
          <w:sz w:val="20"/>
        </w:rPr>
        <w:t>8. 机械映射与零点管理</w:t>
      </w:r>
    </w:p>
    <w:p>
      <w:pPr>
        <w:ind w:left="0"/>
      </w:pPr>
      <w:r>
        <w:rPr>
          <w:rFonts w:ascii="Noto Sans CJK SC" w:hAnsi="Noto Sans CJK SC" w:eastAsia="Noto Sans CJK SC"/>
          <w:sz w:val="20"/>
        </w:rPr>
        <w:t>9. v0.1 控制算法</w:t>
      </w:r>
    </w:p>
    <w:p>
      <w:pPr>
        <w:ind w:left="0"/>
      </w:pPr>
      <w:r>
        <w:rPr>
          <w:rFonts w:ascii="Noto Sans CJK SC" w:hAnsi="Noto Sans CJK SC" w:eastAsia="Noto Sans CJK SC"/>
          <w:sz w:val="20"/>
        </w:rPr>
        <w:t>10. Task 3 状态机</w:t>
      </w:r>
    </w:p>
    <w:p>
      <w:pPr>
        <w:ind w:left="0"/>
      </w:pPr>
      <w:r>
        <w:rPr>
          <w:rFonts w:ascii="Noto Sans CJK SC" w:hAnsi="Noto Sans CJK SC" w:eastAsia="Noto Sans CJK SC"/>
          <w:sz w:val="20"/>
        </w:rPr>
        <w:t>11. 车辆模块占位接口</w:t>
      </w:r>
    </w:p>
    <w:p>
      <w:pPr>
        <w:ind w:left="0"/>
      </w:pPr>
      <w:r>
        <w:rPr>
          <w:rFonts w:ascii="Noto Sans CJK SC" w:hAnsi="Noto Sans CJK SC" w:eastAsia="Noto Sans CJK SC"/>
          <w:sz w:val="20"/>
        </w:rPr>
        <w:t>12. 安全与故障管理</w:t>
      </w:r>
    </w:p>
    <w:p>
      <w:pPr>
        <w:ind w:left="0"/>
      </w:pPr>
      <w:r>
        <w:rPr>
          <w:rFonts w:ascii="Noto Sans CJK SC" w:hAnsi="Noto Sans CJK SC" w:eastAsia="Noto Sans CJK SC"/>
          <w:sz w:val="20"/>
        </w:rPr>
        <w:t>13. 调试模式与遥测</w:t>
      </w:r>
    </w:p>
    <w:p>
      <w:pPr>
        <w:ind w:left="0"/>
      </w:pPr>
      <w:r>
        <w:rPr>
          <w:rFonts w:ascii="Noto Sans CJK SC" w:hAnsi="Noto Sans CJK SC" w:eastAsia="Noto Sans CJK SC"/>
          <w:sz w:val="20"/>
        </w:rPr>
        <w:t>14. 分阶段开发计划</w:t>
      </w:r>
    </w:p>
    <w:p>
      <w:pPr>
        <w:ind w:left="0"/>
      </w:pPr>
      <w:r>
        <w:rPr>
          <w:rFonts w:ascii="Noto Sans CJK SC" w:hAnsi="Noto Sans CJK SC" w:eastAsia="Noto Sans CJK SC"/>
          <w:sz w:val="20"/>
        </w:rPr>
        <w:t>15. 测试矩阵与验收标准</w:t>
      </w:r>
    </w:p>
    <w:p>
      <w:pPr>
        <w:ind w:left="0"/>
      </w:pPr>
      <w:r>
        <w:rPr>
          <w:rFonts w:ascii="Noto Sans CJK SC" w:hAnsi="Noto Sans CJK SC" w:eastAsia="Noto Sans CJK SC"/>
          <w:sz w:val="20"/>
        </w:rPr>
        <w:t>16. 与循迹工程的后续合并策略</w:t>
      </w:r>
    </w:p>
    <w:p>
      <w:pPr>
        <w:ind w:left="0"/>
      </w:pPr>
      <w:r>
        <w:rPr>
          <w:rFonts w:ascii="Noto Sans CJK SC" w:hAnsi="Noto Sans CJK SC" w:eastAsia="Noto Sans CJK SC"/>
          <w:sz w:val="20"/>
        </w:rPr>
        <w:t>17. v0.1 工程包交付内容</w:t>
      </w:r>
    </w:p>
    <w:p>
      <w:r>
        <w:br w:type="page"/>
      </w:r>
    </w:p>
    <w:p>
      <w:pPr>
        <w:pStyle w:val="Heading1"/>
      </w:pPr>
      <w:r>
        <w:t>1. 工程定位与完成边界</w:t>
      </w:r>
    </w:p>
    <w:p>
      <w:r>
        <w:rPr>
          <w:rFonts w:ascii="Noto Serif CJK SC" w:hAnsi="Noto Serif CJK SC" w:eastAsia="Noto Serif CJK SC"/>
          <w:sz w:val="21"/>
        </w:rPr>
        <w:t>本工程以 MSPM0G3507 为实时主控，接收树莓派输出的小球视觉状态，运行 Task 3 状态机和小球位置控制算法，通过 UART 控制 Emm V5.0 闭环步进驱动器。车辆循迹模块在 v0.1 中以 VehicleStub 占位，车辆始终报告静止。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官方约束：</w:t>
            </w:r>
            <w:r>
              <w:rPr>
                <w:rFonts w:ascii="Noto Serif CJK SC" w:hAnsi="Noto Serif CJK SC" w:eastAsia="Noto Serif CJK SC"/>
                <w:sz w:val="21"/>
              </w:rPr>
              <w:t>不使用额外摆杆角度传感器。系统仅形成“小球视觉位置闭环”；Emm V5.0 内部编码器用于保证电机轴跟随，但不能被视为摆杆实际角度反馈。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v0.1 完成车辆静止状态 Task 3：O → +5 cm → -5 cm，并在 -5 cm 附近稳定。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TI 是任务计时和控制状态的唯一主控。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树莓派只提供视觉测量并执行录像、回放。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控制算法输出电机目标位置，不直接在业务层累计正负相对脉冲。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循迹、MPU、车辆前馈、Task 4～6 不属于 v0.1。</w:t>
      </w:r>
    </w:p>
    <w:p>
      <w:pPr>
        <w:pStyle w:val="Heading1"/>
      </w:pPr>
      <w:r>
        <w:t>2. 已确认硬件与接口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95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参数/连接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MCU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MSPM0G3507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闭环步进驱动器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Emm V5.0，地址 0x01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驱动器串口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115200，8N1，校验尾字节 0x6B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细分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16 细分，3200 pulses/rev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电机轴分辨率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1 pulse = 0.1125°（仅指电机轴）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UART0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PA10 TX / PA11 RX，用于树莓派视觉通信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UART1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PB4 TX / PB5 RX，用于 Emm V5.0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相对运动命令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FD 命令，方向、速度、加速度、脉冲、模式、同步标志、0x6B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已知测试基础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25 ms 发一条相对指令；UART0 统计 SENT/PENDING/DROP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换算限制：</w:t>
            </w:r>
            <w:r>
              <w:rPr>
                <w:rFonts w:ascii="Noto Serif CJK SC" w:hAnsi="Noto Serif CJK SC" w:eastAsia="Noto Serif CJK SC"/>
                <w:sz w:val="21"/>
              </w:rPr>
              <w:t>3200 pulses/rev 和 0.1125°/pulse 是电机轴参数。摆杆由曲柄连杆驱动，必须通过实物标定建立 motor_position ↔ nominal_rod_angle 或直接建立 motor_position ↔ 控制量映射。</w:t>
            </w:r>
          </w:p>
        </w:tc>
      </w:tr>
    </w:tbl>
    <w:p>
      <w:pPr>
        <w:spacing w:after="0"/>
      </w:pPr>
    </w:p>
    <w:p>
      <w:pPr>
        <w:pStyle w:val="Heading1"/>
      </w:pPr>
      <w:r>
        <w:t>3. 主控职责与系统架构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8"/>
        </w:rPr>
        <w:t>Raspberry Pi</w:t>
        <w:br/>
        <w:t xml:space="preserve">  └─ BALL_STATE(position, velocity, valid, timestamp)</w:t>
        <w:br/>
        <w:t xml:space="preserve">                       ↓ UART0</w:t>
        <w:br/>
        <w:t>MSPM0G3507</w:t>
        <w:br/>
        <w:t xml:space="preserve">  ├─ Vision Link Supervisor</w:t>
        <w:br/>
        <w:t xml:space="preserve">  ├─ Task Manager / Task3 Controller</w:t>
        <w:br/>
        <w:t xml:space="preserve">  ├─ Ball Position PD Controller</w:t>
        <w:br/>
        <w:t xml:space="preserve">  ├─ Command Profile / Limits</w:t>
        <w:br/>
        <w:t xml:space="preserve">  ├─ Motor Position Manager</w:t>
        <w:br/>
        <w:t xml:space="preserve">  ├─ Emm V5.0 Driver（UART1）</w:t>
        <w:br/>
        <w:t xml:space="preserve">  ├─ VehicleControlPort → VehicleStub(v0.1)</w:t>
        <w:br/>
        <w:t xml:space="preserve">  └─ Safety Supervisor</w:t>
        <w:br/>
        <w:t xml:space="preserve">                       ↓</w:t>
        <w:br/>
        <w:t xml:space="preserve">                Emm V5.0 + 机械摆杆</w:t>
        <w:br/>
        <w:t xml:space="preserve">                       ↓</w:t>
        <w:br/>
        <w:t xml:space="preserve">                    小球运动</w:t>
        <w:br/>
        <w:t xml:space="preserve">                       └────相机视觉反馈────→ Raspberry Pi</w:t>
      </w:r>
    </w:p>
    <w:p>
      <w:r>
        <w:rPr>
          <w:rFonts w:ascii="Noto Serif CJK SC" w:hAnsi="Noto Serif CJK SC" w:eastAsia="Noto Serif CJK SC"/>
          <w:sz w:val="21"/>
        </w:rPr>
        <w:t>TI 本地拥有 task_state、task_start_time、target_position、控制器参数、电机软件位置和 fault_flags。树莓派数据只作为带时效性的外部测量输入。</w:t>
      </w:r>
    </w:p>
    <w:p>
      <w:pPr>
        <w:pStyle w:val="Heading1"/>
      </w:pPr>
      <w:r>
        <w:t>4. 工程目录与模块职责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8"/>
        </w:rPr>
        <w:t>BallBalanceControl_MSPM0_v0_1/</w:t>
        <w:br/>
        <w:t>├── app/                # 启动、调度、模式和配置</w:t>
        <w:br/>
        <w:t>├── bsp/                # SysConfig 生成代码和板级封装</w:t>
        <w:br/>
        <w:t>├── protocol/           # 帧解析、CRC、消息定义</w:t>
        <w:br/>
        <w:t>├── communication/      # UART0 视觉、UART1 Emm、调试通道</w:t>
        <w:br/>
        <w:t>├── motor/              # Emm 驱动、位置管理、命令调度、机械映射</w:t>
        <w:br/>
        <w:t>├── control/            # BallState、PD、限幅、变化率限制、参数集</w:t>
        <w:br/>
        <w:t>├── task/               # TaskManager、Task3 状态机</w:t>
        <w:br/>
        <w:t>├── vehicle/            # VehicleControlPort 与 VehicleStub</w:t>
        <w:br/>
        <w:t>├── safety/             # 超时、软限位、故障和看门狗</w:t>
        <w:br/>
        <w:t>├── telemetry/          # 控制遥测与运行统计</w:t>
        <w:br/>
        <w:t>├── test_modes/         # 电机、协议、模拟球状态、Task3 测试</w:t>
        <w:br/>
        <w:t>└── docs/               # 架构、协议、标定、调参和集成说明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38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94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禁止依赖</w:t>
            </w:r>
          </w:p>
        </w:tc>
        <w:tc>
          <w:tcPr>
            <w:tcW w:type="dxa" w:w="294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对外接口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task3_controller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不得直接组装 Emm 字节帧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设置目标位置、查询任务结果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ball_position_controller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不得依赖 UART 和任务按键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输入球状态与目标，输出控制量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motor_position_manager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不得理解 +5/-5 任务语义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设置绝对目标脉冲、查询命令位置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emm_v5_driver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不得理解小球位置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使能、停止、位置运动、状态查询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vehicle_control_port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不得绑定具体循迹文件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统一车辆状态与运动请求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safety_supervisor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不得修改控制参数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允许/禁止输出、故障码</w:t>
            </w:r>
          </w:p>
        </w:tc>
      </w:tr>
    </w:tbl>
    <w:p>
      <w:pPr>
        <w:spacing w:after="0"/>
      </w:pPr>
    </w:p>
    <w:p>
      <w:pPr>
        <w:pStyle w:val="Heading1"/>
      </w:pPr>
      <w:r>
        <w:t>5. 调度模型和数据所有权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70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建议周期</w:t>
            </w:r>
          </w:p>
        </w:tc>
        <w:tc>
          <w:tcPr>
            <w:tcW w:type="dxa" w:w="379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UART0 接收与解析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中断/DMA + 主循环消费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只更新最新 BallState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Task3 状态机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100 Hz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计时、阶段切换、到达判定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位置控制计算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50 Hz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与视觉 40 Hz 匹配，重复使用最新有效测量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Motor Command Scheduler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20～40 Hz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防止相对命令堆积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Safety Supervisor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100 Hz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视觉超时、软限位、故障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CONTROL_TELEMETRY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20～40 Hz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回传树莓派录像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VehicleStub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50～100 Hz 接口兼容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固定 stationary=true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中断只收字节、置标志或推进轻量缓冲，不在中断中计算 PID。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BallState 使用 latest-value：新包覆盖旧包，不保留历史控制队列。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任务事件和故障事件使用可靠 FIFO 或即时发送，不得被控制遥测覆盖。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所有超时判断使用 TI 本地单调毫秒计时。</w:t>
      </w:r>
    </w:p>
    <w:p>
      <w:pPr>
        <w:pStyle w:val="Heading1"/>
      </w:pPr>
      <w:r>
        <w:t>6. Pi-TI 协议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8"/>
        </w:rPr>
        <w:t>A5 5A | VERSION | TYPE | LENGTH_LE | SEQUENCE_LE | TIMESTAMP_LE | PAYLOAD | CRC16_LE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消息</w:t>
            </w:r>
          </w:p>
        </w:tc>
        <w:tc>
          <w:tcPr>
            <w:tcW w:type="dxa" w:w="14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459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关键字段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BALL_STATE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Pi → TI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frame_id、position、velocity、confidence、found、predicted、valid、invalid_reason、vision_latency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PI_STATUS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Pi → TI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视觉 FPS、链路状态、协议版本、启动 ID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TASK_EVENT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TI → Pi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task_id、session token、state、event、result、reason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CONTROL_TELEMETRY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TI → Pi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目标、测量、误差、控制量、电机位置、故障、车辆占位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HEARTBEAT/ACK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双向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在线状态、最后序号、丢包统计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实施顺序：</w:t>
            </w:r>
            <w:r>
              <w:rPr>
                <w:rFonts w:ascii="Noto Serif CJK SC" w:hAnsi="Noto Serif CJK SC" w:eastAsia="Noto Serif CJK SC"/>
                <w:sz w:val="21"/>
              </w:rPr>
              <w:t>协议结构必须在大规模 TI 代码实现前冻结。树莓派完整工程可以后改，但 TI 端应先用 Python/PC 协议模拟器联调，避免等到视觉接入后才发现字段、单位或 CRC 不一致。</w:t>
            </w:r>
          </w:p>
        </w:tc>
      </w:tr>
    </w:tbl>
    <w:p>
      <w:pPr>
        <w:spacing w:after="0"/>
      </w:pPr>
    </w:p>
    <w:p>
      <w:pPr>
        <w:pStyle w:val="Heading1"/>
      </w:pPr>
      <w:r>
        <w:t>7. Emm V5.0 电机层设计</w:t>
      </w:r>
    </w:p>
    <w:p>
      <w:pPr>
        <w:pStyle w:val="Heading2"/>
      </w:pPr>
      <w:r>
        <w:t>7.1 分层接口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8"/>
        </w:rPr>
        <w:t>EmmV5Driver          ：协议字节和 UART1 发送</w:t>
        <w:br/>
        <w:t>MotorCommandScheduler：命令节流、忙状态、覆盖/停止策略</w:t>
        <w:br/>
        <w:t>MotorPositionManager ：软件绝对目标、命令位置、零点和软限位</w:t>
        <w:br/>
        <w:t>RodMotorMapper       ：控制量/名义角度 → 电机目标脉冲</w:t>
      </w:r>
    </w:p>
    <w:p>
      <w:r>
        <w:rPr>
          <w:rFonts w:ascii="Noto Serif CJK SC" w:hAnsi="Noto Serif CJK SC" w:eastAsia="Noto Serif CJK SC"/>
          <w:sz w:val="21"/>
        </w:rPr>
        <w:t>业务控制器只能调用 Motor_SetTargetPosition(target_pulse)。它不能调用“正向 20 脉冲”这种相对业务命令。</w:t>
      </w:r>
    </w:p>
    <w:p>
      <w:pPr>
        <w:pStyle w:val="Heading2"/>
      </w:pPr>
      <w:r>
        <w:t>7.2 必做命令语义实验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实验</w:t>
            </w:r>
          </w:p>
        </w:tc>
        <w:tc>
          <w:tcPr>
            <w:tcW w:type="dxa" w:w="544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需要回答的问题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运动中再次发同向指令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覆盖当前目标、追加目标还是排队？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运动中发反向指令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立即反向、先完成旧指令还是拒绝？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发送停止后再发位置命令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停止延迟和恢复行为如何？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20/25/50 ms 连续命令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最高稳定更新率、PENDING 和 DROP 如何？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仅 TX 与接回 RX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是否可获得到达/忙/位置等可靠反馈？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断电和重新使能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驱动器内部位置是否保留，软件零点如何处理？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P0 风险：</w:t>
            </w:r>
            <w:r>
              <w:rPr>
                <w:rFonts w:ascii="Noto Serif CJK SC" w:hAnsi="Noto Serif CJK SC" w:eastAsia="Noto Serif CJK SC"/>
                <w:sz w:val="21"/>
              </w:rPr>
              <w:t>若 Emm 驱动器把动态相对指令排队执行，直接以 50 Hz 连续发送会形成严重控制滞后。必须先确定覆盖、排队和停止语义，再决定命令调度器。</w:t>
            </w:r>
          </w:p>
        </w:tc>
      </w:tr>
    </w:tbl>
    <w:p>
      <w:pPr>
        <w:spacing w:after="0"/>
      </w:pPr>
    </w:p>
    <w:p>
      <w:pPr>
        <w:pStyle w:val="Heading1"/>
      </w:pPr>
      <w:r>
        <w:t>8. 机械映射与零点管理</w:t>
      </w:r>
    </w:p>
    <w:p>
      <w:r>
        <w:rPr>
          <w:rFonts w:ascii="Noto Serif CJK SC" w:hAnsi="Noto Serif CJK SC" w:eastAsia="Noto Serif CJK SC"/>
          <w:sz w:val="21"/>
        </w:rPr>
        <w:t>没有摆杆角度传感器后，系统必须依赖稳定的机械映射和软件零点。建议在实验室用外部量角工具标定，但比赛装置上不安装该传感器。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55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标定项目</w:t>
            </w:r>
          </w:p>
        </w:tc>
        <w:tc>
          <w:tcPr>
            <w:tcW w:type="dxa" w:w="566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建议方法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水平零点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人工调平后按键确认，软件设 motor_command_position=0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脉冲-姿态映射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在 -200～+200 pulse 范围分点测量名义倾角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正反向回差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从两侧到达同一目标并比较水管姿态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最小有效命令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测试 1、2、5、10 pulse 是否产生可重复动作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软限位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设置远小于机械卡死位置的 min/max pulse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速度与加速度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从低值逐步提升，观察冲击、振动和跟随异常</w:t>
            </w:r>
          </w:p>
        </w:tc>
      </w:tr>
    </w:tbl>
    <w:p>
      <w:pPr>
        <w:spacing w:after="0"/>
      </w:pPr>
    </w:p>
    <w:p>
      <w:r>
        <w:rPr>
          <w:rFonts w:ascii="Noto Serif CJK SC" w:hAnsi="Noto Serif CJK SC" w:eastAsia="Noto Serif CJK SC"/>
          <w:sz w:val="21"/>
        </w:rPr>
        <w:t>若正反向到达同一命令位置的差异明显，应优先消除连杆间隙，而不是依靠视觉控制器用更大增益补偿。</w:t>
      </w:r>
    </w:p>
    <w:p>
      <w:pPr>
        <w:pStyle w:val="Heading1"/>
      </w:pPr>
      <w:r>
        <w:t>9. v0.1 控制算法</w:t>
      </w:r>
    </w:p>
    <w:p>
      <w:r>
        <w:rPr>
          <w:rFonts w:ascii="Noto Serif CJK SC" w:hAnsi="Noto Serif CJK SC" w:eastAsia="Noto Serif CJK SC"/>
          <w:sz w:val="21"/>
        </w:rPr>
        <w:t>第一版采用小球位置 PD，输出归一化控制量或名义摆杆角度，再经过限幅、变化率限制和 RodMotorMapper 转换为电机目标位置：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8"/>
        </w:rPr>
        <w:t>error = target_position_cm - ball_position_cm</w:t>
        <w:br/>
        <w:t>raw_u = Kp * error - Kd * ball_velocity_cm_s</w:t>
        <w:br/>
        <w:t>limited_u = clamp(raw_u, -u_max, +u_max)</w:t>
        <w:br/>
        <w:t>profiled_u = slew_rate_limit(limited_u, previous_u, du_max)</w:t>
        <w:br/>
        <w:t>motor_target = RodMotorMapper(profiled_u)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38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控制层</w:t>
            </w:r>
          </w:p>
        </w:tc>
        <w:tc>
          <w:tcPr>
            <w:tcW w:type="dxa" w:w="583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Kp 位置项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使小球向目标位置运动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Kd 速度项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提前制动，降低越过目标后的往返振荡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控制量限幅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限制最大倾斜和机械冲击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变化率限制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避免目标脉冲突然大幅反向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最小命令死区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减少目标附近微小脉冲来回抖动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状态参数集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允许 MOVE 与 SETTLE 使用不同限幅/增益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v0.1 不使用积分项。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视觉 valid=false 或测量超时后，PD 输出立即失效，电机进入安全策略。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控制计算频率可以高于视觉包频率，但必须检查测量年龄。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控制参数集中存放并随 CONTROL_TELEMETRY 回传版本或参数 ID。</w:t>
      </w:r>
    </w:p>
    <w:p>
      <w:pPr>
        <w:pStyle w:val="Heading1"/>
      </w:pPr>
      <w:r>
        <w:t>10. Task 3 状态机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8"/>
        </w:rPr>
        <w:t>BOOT → SELF_TEST → IDLE → ARMED</w:t>
        <w:br/>
        <w:t xml:space="preserve">                         ↓ 按键</w:t>
        <w:br/>
        <w:t xml:space="preserve">                 MOVE_PLUS5</w:t>
        <w:br/>
        <w:t xml:space="preserve">                         ↓ 到达确认</w:t>
        <w:br/>
        <w:t xml:space="preserve">                 CONFIRM_PLUS5</w:t>
        <w:br/>
        <w:t xml:space="preserve">                         ↓</w:t>
        <w:br/>
        <w:t xml:space="preserve">                 MOVE_MINUS5</w:t>
        <w:br/>
        <w:t xml:space="preserve">                         ↓ 最终稳定</w:t>
        <w:br/>
        <w:t xml:space="preserve">                 SUCCESS</w:t>
        <w:br/>
        <w:br/>
        <w:t>任何状态：超时/视觉失效/电机故障 → FAILED 或 FAULT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600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目标与判据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ARMED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视觉新鲜且有效、球靠近 O、速度较低、电机零点有效、VehicleStub 静止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MOVE_PLUS5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目标 +5.0 cm；内部到达阈值建议 |e|&lt;0.7 cm 且速度受限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CONFIRM_PLUS5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连续确认约 100～200 ms，随后立即折返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MOVE_MINUS5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目标 -5.0 cm；允许较大控制量，但接近目标需制动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SETTLE_MINUS5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内部 |e|&lt;0.7 cm、速度较低并连续稳定约 250～300 ms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SUCCESS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总时间满足内部目标，发送可靠 TASK_SUCCESS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FAILED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超时、视觉、通信、电机、软限位等原因编码</w:t>
            </w:r>
          </w:p>
        </w:tc>
      </w:tr>
    </w:tbl>
    <w:p>
      <w:pPr>
        <w:spacing w:after="0"/>
      </w:pPr>
    </w:p>
    <w:p>
      <w:r>
        <w:rPr>
          <w:rFonts w:ascii="Noto Serif CJK SC" w:hAnsi="Noto Serif CJK SC" w:eastAsia="Noto Serif CJK SC"/>
          <w:sz w:val="21"/>
        </w:rPr>
        <w:t>正式 5 秒计时从 TI 识别到任务按键后立即开始。内部目标建议控制在 4.5～4.8 秒以内，为现场误差留余量。</w:t>
      </w:r>
    </w:p>
    <w:p>
      <w:pPr>
        <w:pStyle w:val="Heading1"/>
      </w:pPr>
      <w:r>
        <w:t>11. 车辆模块占位接口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8"/>
        </w:rPr>
        <w:t>VehicleControlPort</w:t>
        <w:br/>
        <w:t>├── Vehicle_GetState()</w:t>
        <w:br/>
        <w:t>├── Vehicle_IsStationary()</w:t>
        <w:br/>
        <w:t>├── Vehicle_SetMotionMode()</w:t>
        <w:br/>
        <w:t>├── Vehicle_SetTargetSpeed()</w:t>
        <w:br/>
        <w:t>├── Vehicle_RequestStop()</w:t>
        <w:br/>
        <w:t>└── Vehicle_EmergencyStop()</w:t>
      </w:r>
    </w:p>
    <w:p>
      <w:r>
        <w:rPr>
          <w:rFonts w:ascii="Noto Serif CJK SC" w:hAnsi="Noto Serif CJK SC" w:eastAsia="Noto Serif CJK SC"/>
          <w:sz w:val="21"/>
        </w:rPr>
        <w:t>v0.1 的 VehicleStub 固定返回：valid=true、stationary=true、速度/加速度/姿态/横摆均为 0。Task 3 只依赖 Vehicle_IsStationary。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43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未来适配器</w:t>
            </w:r>
          </w:p>
        </w:tc>
        <w:tc>
          <w:tcPr>
            <w:tcW w:type="dxa" w:w="578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VehicleLocalAdapter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将现有循迹模块编入同一工程，直接读取编码器、MPU 和循迹状态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VehicleUartAdapter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若暂时保留双 TI，通过通信接收另一块板的 VehicleState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VehicleStub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v0.1 静止 Task 3 开发和回归测试</w:t>
            </w:r>
          </w:p>
        </w:tc>
      </w:tr>
    </w:tbl>
    <w:p>
      <w:pPr>
        <w:spacing w:after="0"/>
      </w:pPr>
    </w:p>
    <w:p>
      <w:pPr>
        <w:pStyle w:val="Heading1"/>
      </w:pPr>
      <w:r>
        <w:t>12. 安全与故障管理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9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故障</w:t>
            </w:r>
          </w:p>
        </w:tc>
        <w:tc>
          <w:tcPr>
            <w:tcW w:type="dxa" w:w="306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检测</w:t>
            </w:r>
          </w:p>
        </w:tc>
        <w:tc>
          <w:tcPr>
            <w:tcW w:type="dxa" w:w="323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视觉超时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最后 BALL_STATE 年龄超过阈值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停止位置控制，电机停止/回安全命令位，任务失败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连续无效视觉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valid=false 达到计数阈值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禁止输出并上报原因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UART0 解析异常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CRC、长度、序号异常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丢帧计数，超时后失败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电机软限位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target 超出 min/max pulse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截断并置 fault；严重时停止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电机通信堵塞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PENDING 长期不降或 DROP&gt;0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停止发送并任务失败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任务超时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elapsed 超过内部阈值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停止运动，TASK_FAILED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看门狗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主调度未喂狗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系统复位，电机默认安全失能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失效安全：</w:t>
            </w:r>
            <w:r>
              <w:rPr>
                <w:rFonts w:ascii="Noto Serif CJK SC" w:hAnsi="Noto Serif CJK SC" w:eastAsia="Noto Serif CJK SC"/>
                <w:sz w:val="21"/>
              </w:rPr>
              <w:t>通信恢复后不得自动继续上一次任务。必须重新建立视觉新鲜度、零点有效性和 ARMED 条件，并由人工重新触发。</w:t>
            </w:r>
          </w:p>
        </w:tc>
      </w:tr>
    </w:tbl>
    <w:p>
      <w:pPr>
        <w:spacing w:after="0"/>
      </w:pPr>
    </w:p>
    <w:p>
      <w:pPr>
        <w:pStyle w:val="Heading1"/>
      </w:pPr>
      <w:r>
        <w:t>13. 调试模式与遥测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538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EMM_ENABLE_TEST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使能、失能、停止和基本应答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EMM_STEP_SWEEP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复用现有 5/10/20/40 pulse 正反测试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EMM_COMMAND_SEMANTICS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验证覆盖、排队、反向和停止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MOTOR_TARGET_POSITION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输入绝对目标，检查相对转换和软限位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VISION_PACKET_LOOPBACK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只解析 BALL_STATE 并回传内容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SIMULATED_BALL_CONTROL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使用软件生成位置轨迹测试 PD 和状态机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TASK3_DRY_RUN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不使能电机，只输出拟发送命令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TASK3_LIVE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真实视觉 + 真实电机闭环测试</w:t>
            </w:r>
          </w:p>
        </w:tc>
      </w:tr>
    </w:tbl>
    <w:p>
      <w:pPr>
        <w:spacing w:after="0"/>
      </w:pPr>
    </w:p>
    <w:p>
      <w:r>
        <w:rPr>
          <w:rFonts w:ascii="Noto Serif CJK SC" w:hAnsi="Noto Serif CJK SC" w:eastAsia="Noto Serif CJK SC"/>
          <w:sz w:val="21"/>
        </w:rPr>
        <w:t>CONTROL_TELEMETRY 至少回传：task_state、elapsed、target_position、ball_position、velocity、valid、error、raw_u、limited_u、motor_target、motor_commanded、delta、UART 统计和 fault_flags。</w:t>
      </w:r>
    </w:p>
    <w:p>
      <w:pPr>
        <w:pStyle w:val="Heading1"/>
      </w:pPr>
      <w:r>
        <w:t>14. 分阶段开发计划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58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版本阶段</w:t>
            </w:r>
          </w:p>
        </w:tc>
        <w:tc>
          <w:tcPr>
            <w:tcW w:type="dxa" w:w="402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主要工作</w:t>
            </w:r>
          </w:p>
        </w:tc>
        <w:tc>
          <w:tcPr>
            <w:tcW w:type="dxa" w:w="272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T0 架构/协议冻结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目录、接口、状态机、帧格式、单位、CRC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TI 与协议模拟器黄金字节一致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T1 电机底层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Emm 驱动、使能/停止、UART 队列统计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正反动作可靠，DROP=0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T2 命令语义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覆盖/排队/反向/停止实验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确定正式调度策略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T3 位置管理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软件零点、绝对目标、软限位、映射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目标位置重复到达，无累计漂移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T4 模拟控制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BallState 模拟器、PD、限幅、Task3 dry-run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控制方向和状态机正确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T5 通信闭环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接收 Pi 模拟 BALL_STATE，回传遥测/事件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10 分钟稳定，超时安全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T6 真实视觉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接入 VisionPipeline 实测状态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±1/±2/±3 cm 分级闭环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T7 Task3 验收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+5 折返 -5 稳定、自动记录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连续成功并满足 5 秒和误差指标</w:t>
            </w:r>
          </w:p>
        </w:tc>
      </w:tr>
    </w:tbl>
    <w:p>
      <w:pPr>
        <w:spacing w:after="0"/>
      </w:pPr>
    </w:p>
    <w:p>
      <w:pPr>
        <w:pStyle w:val="Heading1"/>
      </w:pPr>
      <w:r>
        <w:t>15. 测试矩阵与验收标准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43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测试组</w:t>
            </w:r>
          </w:p>
        </w:tc>
        <w:tc>
          <w:tcPr>
            <w:tcW w:type="dxa" w:w="578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关键指标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UART1 空载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SENT 持续增加、PENDING 可回落、DROP=0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电机重复性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同一目标正反向多次到达，机械姿态可重复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命令动态性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连续目标变化不执行陈旧历史命令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协议稳定性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10 分钟无死锁；CRC/丢包/重连可统计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安全断线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拔掉 Pi UART 后在阈值内停止控制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小位移闭环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O 点保持及 ±1/±2/±3 cm 无持续振荡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±5 cm 静态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稳态误差内部目标 0.5～0.7 cm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Task 3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连续 20 次，先达到 ≥18 次成功，最终目标 20/20；时间 &lt;4.8 s</w:t>
            </w:r>
          </w:p>
        </w:tc>
      </w:tr>
    </w:tbl>
    <w:p>
      <w:pPr>
        <w:spacing w:after="0"/>
      </w:pPr>
    </w:p>
    <w:p>
      <w:pPr>
        <w:pStyle w:val="Heading1"/>
      </w:pPr>
      <w:r>
        <w:t>16. 与循迹工程的后续合并策略</w:t>
      </w:r>
    </w:p>
    <w:p>
      <w:r>
        <w:rPr>
          <w:rFonts w:ascii="Noto Serif CJK SC" w:hAnsi="Noto Serif CJK SC" w:eastAsia="Noto Serif CJK SC"/>
          <w:sz w:val="21"/>
        </w:rPr>
        <w:t>Task 3 稳定后，再比较当前新工程与现有循迹工程的底层质量、资源占用和可维护性，选择迁移方向。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04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17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适用条件</w:t>
            </w:r>
          </w:p>
        </w:tc>
        <w:tc>
          <w:tcPr>
            <w:tcW w:type="dxa" w:w="300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迁移内容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循迹并入本工程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本工程调度、协议、故障和任务架构更清晰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实现 VehicleLocalAdapter，移植循迹/编码器/MPU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滚球并入循迹工程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循迹工程底层驱动和实时框架更成熟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移植 control/task/motor/protocol 模块并实现适配层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暂时双 TI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临近比赛、合并风险过高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sz w:val="18"/>
              </w:rPr>
              <w:t>实现 VehicleUartAdapter，但保持同一 VehicleControlPort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合并原则：</w:t>
            </w:r>
            <w:r>
              <w:rPr>
                <w:rFonts w:ascii="Noto Serif CJK SC" w:hAnsi="Noto Serif CJK SC" w:eastAsia="Noto Serif CJK SC"/>
                <w:sz w:val="21"/>
              </w:rPr>
              <w:t>不论选择哪一方向，Task3Controller、BallPositionController 和 MotorPositionManager 的业务接口不应改变。只替换 VehicleControlPort 适配器和板级资源配置。</w:t>
            </w:r>
          </w:p>
        </w:tc>
      </w:tr>
    </w:tbl>
    <w:p>
      <w:pPr>
        <w:spacing w:after="0"/>
      </w:pPr>
    </w:p>
    <w:p>
      <w:pPr>
        <w:pStyle w:val="Heading1"/>
      </w:pPr>
      <w:r>
        <w:t>17. v0.1 工程包交付内容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可编译的 MSPM0G3507 工程及 SysConfig 配置；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Emm V5.0 驱动、命令语义测试和运行统计；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Pi-TI 二进制协议、CRC 和协议测试向量；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MotorPositionManager、RodMotorMapper、软限位和零点流程；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BallPositionController、CommandProfile 和参数配置；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Task 3 状态机、按键触发、计时和故障码；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VehicleControlPort 与 VehicleStub；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CONTROL_TELEMETRY 与 TASK_EVENT 回传；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电机标定、协议联调、Task 3 调参和验收文档；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所有测试模式、预期串口输出和失败诊断清单。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v0.1 完成定义：</w:t>
            </w:r>
            <w:r>
              <w:rPr>
                <w:rFonts w:ascii="Noto Serif CJK SC" w:hAnsi="Noto Serif CJK SC" w:eastAsia="Noto Serif CJK SC"/>
                <w:sz w:val="21"/>
              </w:rPr>
              <w:t>不是“能让电机转”，而是 TI 可以独立接收模拟或真实视觉状态、安全地产生可追踪电机目标、执行完整 Task 3 状态机，并将全过程回传树莓派记录。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F7F7F"/>
        <w:sz w:val="17"/>
      </w:rPr>
      <w:t>TI 板 V0.1 开发说明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52" w:lineRule="auto"/>
      <w:ind w:left="283" w:right="170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