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广东技术师范大学实验报告</w:t>
      </w:r>
    </w:p>
    <w:p/>
    <w:p>
      <w:pPr>
        <w:pStyle w:val="Heading2"/>
      </w:pPr>
      <w:r>
        <w:rPr>
          <w:rFonts w:ascii="黑体" w:hAnsi="黑体" w:eastAsia="黑体"/>
        </w:rPr>
        <w:t>实验名称：基于 tRPC-Agent 与 OpenCV 的车牌图像识别智能体系统</w:t>
      </w:r>
    </w:p>
    <w:p>
      <w:pPr>
        <w:pStyle w:val="Heading2"/>
      </w:pPr>
      <w:r>
        <w:rPr>
          <w:color w:val="000000"/>
        </w:rPr>
        <w:t>一、实验目的</w:t>
      </w:r>
    </w:p>
    <w:p>
      <w:r>
        <w:rPr>
          <w:b w:val="0"/>
          <w:sz w:val="22"/>
        </w:rPr>
        <w:t>1. 掌握基于 OpenCV 的车牌图像预处理技术，包括高斯滤波降噪、加权平均灰度化、OTSU 大津阈值二值化、Canny 算子边缘检测以及仿射变换倾斜矫正，理解各算法原理及适用场景。</w:t>
      </w:r>
    </w:p>
    <w:p>
      <w:r>
        <w:rPr>
          <w:b w:val="0"/>
          <w:sz w:val="22"/>
        </w:rPr>
        <w:t>2. 掌握基于数学形态学与 HSV 颜色空间的两阶段车牌定位方法，理解腐蚀、膨胀、开运算、闭运算在轮廓提取中的作用及颜色空间转换原理。</w:t>
      </w:r>
    </w:p>
    <w:p>
      <w:r>
        <w:rPr>
          <w:b w:val="0"/>
          <w:sz w:val="22"/>
        </w:rPr>
        <w:t>3. 掌握基于垂直投影法的车牌字符分割技术，理解波谷-波峰-波谷特征在字符边界检测中的应用，能处理铆钉和小圆点干扰。</w:t>
      </w:r>
    </w:p>
    <w:p>
      <w:r>
        <w:rPr>
          <w:b w:val="0"/>
          <w:sz w:val="22"/>
        </w:rPr>
        <w:t>4. 掌握基于 HOG 特征提取与 SVM 支持向量机的字符识别方法，理解 SVM 二分类原理与核函数映射机制，能训练并评估字符分类器。</w:t>
      </w:r>
    </w:p>
    <w:p>
      <w:r>
        <w:rPr>
          <w:b w:val="0"/>
          <w:sz w:val="22"/>
        </w:rPr>
        <w:t>5. 理解并实践 tRPC-Agent 智能体工程化架构：GraphAgent 确定性流水线编排、13 个 FunctionTool 工具封装、LLM 二次校验防幻觉机制、ChromaDB 向量知识库 RAG 检索、跨会话 Memory 记忆召回。</w:t>
      </w:r>
    </w:p>
    <w:p>
      <w:r>
        <w:rPr>
          <w:b w:val="0"/>
          <w:sz w:val="22"/>
        </w:rPr>
        <w:t>6. 掌握微服务架构与容器化部署：FastAPI + SSE 流式服务化、Spring Boot + JWT 管理后台、Vue 3 + ECharts 监控大屏、Docker Compose 七服务编排。</w:t>
      </w:r>
    </w:p>
    <w:p>
      <w:pPr>
        <w:pStyle w:val="Heading2"/>
      </w:pPr>
      <w:r>
        <w:rPr>
          <w:color w:val="000000"/>
        </w:rPr>
        <w:t>二、实验内容与步骤</w:t>
      </w:r>
    </w:p>
    <w:p>
      <w:pPr>
        <w:pStyle w:val="Heading3"/>
      </w:pPr>
      <w:r>
        <w:rPr>
          <w:color w:val="000000"/>
        </w:rPr>
        <w:t>2.1 车牌图像预处理</w:t>
      </w:r>
    </w:p>
    <w:p>
      <w:r>
        <w:rPr>
          <w:b w:val="0"/>
          <w:sz w:val="22"/>
        </w:rPr>
        <w:t>预处理是识别流水线的第一步，目标是在不损失关键信息的前提下消除噪声并增强车牌区域的可辨识度。具体流程为：① 高斯滤波——使用 5x5 高斯核对图像进行卷积操作，消除高斯噪声同时较好保留边缘信息（cv2.GaussianBlur）；② 灰度化——采用加权平均法（Gray = 0.299R + 0.587G + 0.114B）将彩色图像转为灰度图，使用 cv2.cvtColor(img, cv2.COLOR_BGR2GRAY) 实现；③ 二值化——采用 OTSU 大津阈值法自动选取最佳阈值，将灰度图转化为黑白二值图像，分离前景字符与背景（cv2.threshold + cv2.THRESH_OTSU）；④ Canny 边缘检测——使用 Canny 多级检测算子（高斯平滑、梯度计算、非极大值抑制、双阈值连接，阈值设为 50/150）提取边缘；⑤ 仿射变换倾斜矫正——利用 cv2.getAffineTransform 计算变换矩阵，cv2.warpAffine 对倾斜车牌进行几何校正。上述五个步骤分别封装为 FunctionTool：tool_gaussian_blur、tool_grayscale、tool_binarize_otsu、tool_edge_detect_canny、tool_affine_correct。</w:t>
      </w:r>
    </w:p>
    <w:p>
      <w:pPr>
        <w:pStyle w:val="Heading3"/>
      </w:pPr>
      <w:r>
        <w:rPr>
          <w:color w:val="000000"/>
        </w:rPr>
        <w:t>2.2 车牌定位与字符分割</w:t>
      </w:r>
    </w:p>
    <w:p>
      <w:r>
        <w:rPr>
          <w:b w:val="0"/>
          <w:sz w:val="22"/>
        </w:rPr>
        <w:t>定位采用数学形态学与 HSV 颜色空间相结合的两阶段策略。第一阶段粗定位：利用 cv2.getStructuringElement 创建矩形结构元素，通过 cv2.morphologyEx 依次执行腐蚀、膨胀、开运算、闭运算对二值化图像处理，cv2.findContours 提取全部候选轮廓，按车牌宽高比（2:1~5.5:1）进行初步筛选。第二阶段精定位：将候选区域通过 cv2.cvtColor 从 RGB 转 HSV 空间，使用 cv2.inRange 根据 HSV 颜色分量范围表计算各矩形中蓝、绿、黄颜色的占有量，最终确定车牌精确区域及颜色。定位工具封装为 tool_morphology_locate 和 tool_color_locate。</w:t>
      </w:r>
    </w:p>
    <w:p>
      <w:r>
        <w:rPr>
          <w:b w:val="0"/>
          <w:sz w:val="22"/>
        </w:rPr>
        <w:t>字符分割采用垂直投影法：对二值化后的车牌图像计算垂直方向投影直方图（np.sum），利用字符间隙形成的波谷特征定位每个字符的左右边界，将车牌分割为 7 个独立字符图像，同时处理车牌上的铆钉和小圆点干扰。封装为 tool_vertical_projection。</w:t>
      </w:r>
    </w:p>
    <w:p>
      <w:pPr>
        <w:pStyle w:val="Heading3"/>
      </w:pPr>
      <w:r>
        <w:rPr>
          <w:color w:val="000000"/>
        </w:rPr>
        <w:t>2.3 字符识别与 LLM 二次校验</w:t>
      </w:r>
    </w:p>
    <w:p>
      <w:r>
        <w:rPr>
          <w:b w:val="0"/>
          <w:sz w:val="22"/>
        </w:rPr>
        <w:t>字符识别基于 HOG（方向梯度直方图）特征提取 + SVM（支持向量机）分类器。系统训练了两个分类器：① 汉字分类器——训练 31 个省份简称，各采集 200 个样本，涵盖不同光照、角度和清晰度条件下的字符图像；② 字母数字分类器——训练 24 个英文字母（不含易混淆的 I、O）和 10 个数字，各采集 500 个样本。SVM 模型采用 RBF 核函数进行高维空间映射，训练后保存为 svm_model.pkl 文件（约 11MB）。识别时对每个分割后的字符图像提取 HOG 特征后调用 predict() 输出预测标签和置信度分数。封装为 tool_svm_predict。</w:t>
      </w:r>
    </w:p>
    <w:p>
      <w:r>
        <w:rPr>
          <w:b w:val="0"/>
          <w:sz w:val="22"/>
        </w:rPr>
        <w:t>为降低 SVM 对形近字符（如 B/8、D/0、粤/鄂、2/Z）的误识别率，系统引入 LLM 二次校验机制：当任一字符置信度低于 0.85 时，自动触发 tool_llm_verify，将字符图像和候选预测结果发送至 DeepSeek API，结合预置的混淆字符对照表进行上下文推理复核。校验过程使用 tenacity 库实现三层容错：指数退避重试（最多 3 次）、超时保护（总超时 30 秒）、降级兜底（超时后直接采纳 SVM 原始结果），确保系统在任何情况下都能返回可用结果。</w:t>
      </w:r>
    </w:p>
    <w:p>
      <w:pPr>
        <w:pStyle w:val="Heading3"/>
      </w:pPr>
      <w:r>
        <w:rPr>
          <w:color w:val="000000"/>
        </w:rPr>
        <w:t>2.4 Agent 流水线编排</w:t>
      </w:r>
    </w:p>
    <w:p>
      <w:r>
        <w:rPr>
          <w:b w:val="0"/>
          <w:sz w:val="22"/>
        </w:rPr>
        <w:t>基于 tRPC-Agent SDK 构建两个 Agent 实例。对话 Agent（plate_chat）为 LlmAgent，使用 DeepSeek 作为底层模型（deepseek-chat），挂载 13 个 FunctionTool 供 LLM 自主决策调用链，instruction 设计为处理用户车牌识别请求和闲聊。</w:t>
      </w:r>
    </w:p>
    <w:p>
      <w:r>
        <w:rPr>
          <w:b w:val="0"/>
          <w:sz w:val="22"/>
        </w:rPr>
        <w:t>识别 Agent（plate_recognition）为 GraphAgent，实现确定性的 6 节点流水线。首先定义 PlateState 类型化状态对象（TypedDict），包含 image_path、preprocess_output、locate_output、segment_chars、recognize_chars、final_plate 等字段。6 个节点依次为：preprocess_node（串联 5 个预处理步骤）、locate_node（形态学粗定位+HSV 精定位）、segment_node（垂直投影分割 7 字符）、recognize_node（asyncio.gather 并行 SVM 预测，标记低置信度字符）、条件路由、format_output_node（拼接车牌号、查询黑名单、生成最终响应）。识别后根据置信度进行三级条件路由：极低置信度（&lt;0.5）走 human_review 人工确认节点（interrupt 模式）、低置信度（0.5~0.85）走 llm_verify LLM 复核节点、高置信度（&gt;0.85）直接进入 format_output 输出。</w:t>
      </w:r>
    </w:p>
    <w:p>
      <w:pPr>
        <w:pStyle w:val="Heading3"/>
      </w:pPr>
      <w:r>
        <w:rPr>
          <w:color w:val="000000"/>
        </w:rPr>
        <w:t>2.5 后端服务化</w:t>
      </w:r>
    </w:p>
    <w:p>
      <w:r>
        <w:rPr>
          <w:b w:val="0"/>
          <w:sz w:val="22"/>
        </w:rPr>
        <w:t>FastAPI 服务（端口 8000）：创建 FastAPI 应用并配置 CORS 中间件，通过 lifespan 管理 tRPC-Agent Runner 的生命周期。集成 OpenTelemetry 自动追踪。暴露三个接口：POST /api/chat（LlmAgent 多轮对话，SSE 流式输出，支持 text_delta/tool_call/tool_result 事件类型）、POST /api/recognize（单张图像识别，直接启动 GraphAgent 流水线，SSE 流式推送每步进度）、GET /api/health（健康检查）。</w:t>
      </w:r>
    </w:p>
    <w:p>
      <w:r>
        <w:rPr>
          <w:b w:val="0"/>
          <w:sz w:val="22"/>
        </w:rPr>
        <w:t>Spring Boot 管理后台（端口 8080）：基于 Spring Boot 3.3 + Spring Security + JWT 构建。创建 PlateRecord JPA 实体类映射 plate_records 表（含车牌号、置信度、识别方式、黑名单状态等 13 个字段）。编写 PlateRecordRepository 提供自定义查询（分页模糊搜索、状态统计、黑名单筛选、今日聚合）。PlateController 暴露 RESTful API：GET /api/records（分页+筛选）、GET /api/records/stats/today（6 指标聚合）、GET /api/records/stats/hourly（24 小时分布）、GET /api/records/blacklist（黑名单筛选）。JwtUtil 负责 Token 生成与验证，JwtAuthFilter 拦截请求校验 JWT，AuthController 处理 POST /api/auth/login。</w:t>
      </w:r>
    </w:p>
    <w:p>
      <w:pPr>
        <w:pStyle w:val="Heading3"/>
      </w:pPr>
      <w:r>
        <w:rPr>
          <w:color w:val="000000"/>
        </w:rPr>
        <w:t>2.6 前端与容器化部署</w:t>
      </w:r>
    </w:p>
    <w:p>
      <w:r>
        <w:rPr>
          <w:b w:val="0"/>
          <w:sz w:val="22"/>
        </w:rPr>
        <w:t>Vue 3 前端（端口 3001）：基于 Vite 构建，Vue Router Hash 模式路由，Axios 封装请求。包含四个核心页面——登录页（JWT 表单认证）、监控大屏 Dashboard（6 个统计卡片 + ECharts 柱状图/饼图 + 最近识别记录表，每 10 秒自动刷新）、识别记录 Records（分页表格 + 车牌号搜索 + 状态筛选 + 黑名单视图切换）、AI 实验室 AgentLab（图片库选择 + SSE 流式管线进度实时展示 + LLM 多轮对话）。Vite 代理将 /api 转发至 Spring Boot、/agent-api 转发至 FastAPI。</w:t>
      </w:r>
    </w:p>
    <w:p>
      <w:r>
        <w:rPr>
          <w:b w:val="0"/>
          <w:sz w:val="22"/>
        </w:rPr>
        <w:t>Docker Compose 编排 7 个微服务容器：Nginx（Vue 静态资源 + 反向代理）、FastAPI（Python 3.11-slim，含 OpenCV 依赖）、Spring Boot（Maven 多阶段构建、eclipse-temurin:17-jre）、Redis 7（Session/Memory 缓存）、MySQL 8.0（识别记录持久化，init.sql 自动建库建表）、ChromaDB（向量知识库 RAG 检索）、RabbitMQ（异步通知，可选）。服务间通过 plate-net 桥接网络通信，Nginx 统一对外暴露 80 端口。</w:t>
      </w:r>
    </w:p>
    <w:p>
      <w:pPr>
        <w:pStyle w:val="Heading2"/>
      </w:pPr>
      <w:r>
        <w:rPr>
          <w:color w:val="000000"/>
        </w:rPr>
        <w:t>三、Web 端设计与实现</w:t>
      </w:r>
    </w:p>
    <w:p>
      <w:r>
        <w:rPr>
          <w:b w:val="0"/>
          <w:sz w:val="22"/>
        </w:rPr>
        <w:t>系统采用前后端分离架构，前端 Vue 3 + Vite 构建单页应用，后端双服务（Spring Boot + FastAPI），Vite 开发服务器通过代理转发请求。</w:t>
      </w:r>
    </w:p>
    <w:p>
      <w:r>
        <w:rPr>
          <w:b w:val="0"/>
          <w:sz w:val="22"/>
        </w:rPr>
        <w:t>前端页面结构：登录页（/login）使用表单收集用户名密码，提交至 POST /api/auth/login，成功后 JWT Token 存入 localStorage，路由守卫拦截未登录访问。监控大屏（/dashboard）页面加载时并发请求 stats/today、stats/hourly、records 三个接口，将返回的 totalRecognitions/successCount/failedCount 等字段绑定至 6 个统计卡片，hourlyData 数组驱动 ECharts 柱状图，successCount/partialCount/failedCount 驱动饼图，recentRecords 数组渲染表格行。识别记录（/records）提供车牌号关键词搜索输入框、success/partial/failed 状态下拉筛选、分页导航按钮以及黑名单视图一键切换功能。AI 实验室（/agent-lab）左侧展示 31 张测试图片缩略图网格，选中图片后点击开始识别按钮发起 POST /agent-api/recognize，通过 ReadableStream 消费 SSE 事件流（tool_call、tool_result、text_delta 事件实时追加至管线进度列表，final 事件填充结果卡片）。AI 对话标签页提供多轮对话输入框，发送消息至 POST /agent-api/chat，SSE 流式接收回复，工具调用以标签形式内联展示。</w:t>
      </w:r>
    </w:p>
    <w:p>
      <w:pPr>
        <w:pStyle w:val="Heading2"/>
      </w:pPr>
      <w:r>
        <w:rPr>
          <w:color w:val="000000"/>
        </w:rPr>
        <w:t>四、数据库设计</w:t>
      </w:r>
    </w:p>
    <w:p>
      <w:r>
        <w:rPr>
          <w:b w:val="0"/>
          <w:sz w:val="22"/>
        </w:rPr>
        <w:t>系统使用 SQLite 作为嵌入式开发数据库（文件 plate_records.db），生产环境可通过 Docker Compose 切换为 MySQL 8.0。核心数据表 plate_records 存储每次车牌识别的完整记录，表结构如下：</w:t>
      </w:r>
    </w:p>
    <w:p>
      <w:pPr>
        <w:spacing w:before="20" w:after="20"/>
        <w:ind w:left="432"/>
      </w:pPr>
      <w:r>
        <w:rPr>
          <w:rFonts w:ascii="Consolas" w:hAnsi="Consolas"/>
          <w:color w:val="3C3C3C"/>
          <w:sz w:val="18"/>
        </w:rPr>
        <w:t>plate_records 表（13 字段）：</w:t>
      </w:r>
    </w:p>
    <w:p>
      <w:pPr>
        <w:spacing w:before="20" w:after="20"/>
        <w:ind w:left="432"/>
      </w:pPr>
      <w:r>
        <w:rPr>
          <w:rFonts w:ascii="Consolas" w:hAnsi="Consolas"/>
          <w:color w:val="3C3C3C"/>
          <w:sz w:val="18"/>
        </w:rPr>
        <w:t xml:space="preserve">  id               INTEGER PRIMARY KEY AUTOINCREMENT   -- 主键</w:t>
      </w:r>
    </w:p>
    <w:p>
      <w:pPr>
        <w:spacing w:before="20" w:after="20"/>
        <w:ind w:left="432"/>
      </w:pPr>
      <w:r>
        <w:rPr>
          <w:rFonts w:ascii="Consolas" w:hAnsi="Consolas"/>
          <w:color w:val="3C3C3C"/>
          <w:sz w:val="18"/>
        </w:rPr>
        <w:t xml:space="preserve">  plate_number     TEXT NOT NULL                      -- 识别车牌号，如粤A12345</w:t>
      </w:r>
    </w:p>
    <w:p>
      <w:pPr>
        <w:spacing w:before="20" w:after="20"/>
        <w:ind w:left="432"/>
      </w:pPr>
      <w:r>
        <w:rPr>
          <w:rFonts w:ascii="Consolas" w:hAnsi="Consolas"/>
          <w:color w:val="3C3C3C"/>
          <w:sz w:val="18"/>
        </w:rPr>
        <w:t xml:space="preserve">  image_path       TEXT                               -- 原始图片路径</w:t>
      </w:r>
    </w:p>
    <w:p>
      <w:pPr>
        <w:spacing w:before="20" w:after="20"/>
        <w:ind w:left="432"/>
      </w:pPr>
      <w:r>
        <w:rPr>
          <w:rFonts w:ascii="Consolas" w:hAnsi="Consolas"/>
          <w:color w:val="3C3C3C"/>
          <w:sz w:val="18"/>
        </w:rPr>
        <w:t xml:space="preserve">  plate_color      TEXT                               -- 车牌颜色（蓝色/绿色/黄色）</w:t>
      </w:r>
    </w:p>
    <w:p>
      <w:pPr>
        <w:spacing w:before="20" w:after="20"/>
        <w:ind w:left="432"/>
      </w:pPr>
      <w:r>
        <w:rPr>
          <w:rFonts w:ascii="Consolas" w:hAnsi="Consolas"/>
          <w:color w:val="3C3C3C"/>
          <w:sz w:val="18"/>
        </w:rPr>
        <w:t xml:space="preserve">  avg_confidence   REAL                               -- 平均置信度 (0.0 ~ 1.0)</w:t>
      </w:r>
    </w:p>
    <w:p>
      <w:pPr>
        <w:spacing w:before="20" w:after="20"/>
        <w:ind w:left="432"/>
      </w:pPr>
      <w:r>
        <w:rPr>
          <w:rFonts w:ascii="Consolas" w:hAnsi="Consolas"/>
          <w:color w:val="3C3C3C"/>
          <w:sz w:val="18"/>
        </w:rPr>
        <w:t xml:space="preserve">  blacklist_hit    INTEGER DEFAULT 0                  -- 是否命中黑名单（0/1）</w:t>
      </w:r>
    </w:p>
    <w:p>
      <w:pPr>
        <w:spacing w:before="20" w:after="20"/>
        <w:ind w:left="432"/>
      </w:pPr>
      <w:r>
        <w:rPr>
          <w:rFonts w:ascii="Consolas" w:hAnsi="Consolas"/>
          <w:color w:val="3C3C3C"/>
          <w:sz w:val="18"/>
        </w:rPr>
        <w:t xml:space="preserve">  blacklist_type   TEXT                               -- 黑名单类型（套牌/违章/盗抢）</w:t>
      </w:r>
    </w:p>
    <w:p>
      <w:pPr>
        <w:spacing w:before="20" w:after="20"/>
        <w:ind w:left="432"/>
      </w:pPr>
      <w:r>
        <w:rPr>
          <w:rFonts w:ascii="Consolas" w:hAnsi="Consolas"/>
          <w:color w:val="3C3C3C"/>
          <w:sz w:val="18"/>
        </w:rPr>
        <w:t xml:space="preserve">  recognize_method TEXT                               -- 识别方式（SVM / SVM+LLM）</w:t>
      </w:r>
    </w:p>
    <w:p>
      <w:pPr>
        <w:spacing w:before="20" w:after="20"/>
        <w:ind w:left="432"/>
      </w:pPr>
      <w:r>
        <w:rPr>
          <w:rFonts w:ascii="Consolas" w:hAnsi="Consolas"/>
          <w:color w:val="3C3C3C"/>
          <w:sz w:val="18"/>
        </w:rPr>
        <w:t xml:space="preserve">  process_time_ms  INTEGER                            -- 处理耗时，单位毫秒</w:t>
      </w:r>
    </w:p>
    <w:p>
      <w:pPr>
        <w:spacing w:before="20" w:after="20"/>
        <w:ind w:left="432"/>
      </w:pPr>
      <w:r>
        <w:rPr>
          <w:rFonts w:ascii="Consolas" w:hAnsi="Consolas"/>
          <w:color w:val="3C3C3C"/>
          <w:sz w:val="18"/>
        </w:rPr>
        <w:t xml:space="preserve">  status           TEXT                               -- 状态（success / partial / failed）</w:t>
      </w:r>
    </w:p>
    <w:p>
      <w:pPr>
        <w:spacing w:before="20" w:after="20"/>
        <w:ind w:left="432"/>
      </w:pPr>
      <w:r>
        <w:rPr>
          <w:rFonts w:ascii="Consolas" w:hAnsi="Consolas"/>
          <w:color w:val="3C3C3C"/>
          <w:sz w:val="18"/>
        </w:rPr>
        <w:t xml:space="preserve">  error_message    TEXT                               -- 失败时的错误信息</w:t>
      </w:r>
    </w:p>
    <w:p>
      <w:pPr>
        <w:spacing w:before="20" w:after="20"/>
        <w:ind w:left="432"/>
      </w:pPr>
      <w:r>
        <w:rPr>
          <w:rFonts w:ascii="Consolas" w:hAnsi="Consolas"/>
          <w:color w:val="3C3C3C"/>
          <w:sz w:val="18"/>
        </w:rPr>
        <w:t xml:space="preserve">  raw_result       TEXT                               -- 完整识别结果 JSON</w:t>
      </w:r>
    </w:p>
    <w:p>
      <w:pPr>
        <w:spacing w:before="20" w:after="20"/>
        <w:ind w:left="432"/>
      </w:pPr>
      <w:r>
        <w:rPr>
          <w:rFonts w:ascii="Consolas" w:hAnsi="Consolas"/>
          <w:color w:val="3C3C3C"/>
          <w:sz w:val="18"/>
        </w:rPr>
        <w:t xml:space="preserve">  created_at       TEXT DEFAULT datetime()            -- 记录创建时间</w:t>
      </w:r>
    </w:p>
    <w:p>
      <w:r>
        <w:rPr>
          <w:b w:val="0"/>
          <w:sz w:val="22"/>
        </w:rPr>
        <w:t>REST API 接口：GET /api/records（分页查询，支持 plate=/status= 可选参数），GET /api/records/blacklist（筛选黑名单记录），GET /api/records/stats/today（聚合今日总数/成功数/部分成功数/失败数/黑名单命中数/平均置信度，通过多条 SELECT COUNT(*) 加 SELECT AVG() 实现），GET /api/records/stats/hourly（按 created_at 的小时分组计数，输出 24 个时段的 count 数组），POST /api/auth/login（验证用户名密码，返回 JWT Token）。</w:t>
      </w:r>
    </w:p>
    <w:p>
      <w:pPr>
        <w:pStyle w:val="Heading2"/>
      </w:pPr>
      <w:r>
        <w:rPr>
          <w:color w:val="000000"/>
        </w:rPr>
        <w:t>五、Web 与数据库交互过程</w:t>
      </w:r>
    </w:p>
    <w:p>
      <w:r>
        <w:rPr>
          <w:b w:val="0"/>
          <w:sz w:val="22"/>
        </w:rPr>
        <w:t>系统采用标准的三层前后端分离架构，完整请求链路为：用户浏览器操作 -&gt; Vue 组件触发 Axios 请求 -&gt; 请求到达 Vite 开发服务器（端口 3001），根据 URL 前缀进行代理转发（/api -&gt; 端口 8080, /agent-api -&gt; 端口 8000）-&gt; 后端 Controller 接收请求 -&gt; Service 层执行业务逻辑 -&gt; Repository 层对 SQLite/MySQL 执行 SQL -&gt; 数据库返回结果 -&gt; Controller 序列化为 JSON -&gt; 前端接收 JSON，更新 Vue 响应式状态，驱动 DOM 渲染。</w:t>
      </w:r>
    </w:p>
    <w:p>
      <w:r>
        <w:rPr>
          <w:b w:val="0"/>
          <w:sz w:val="22"/>
        </w:rPr>
        <w:t>以 Dashboard 监控大屏的数据加载为例：页面 onMounted 时调用 loadData()，通过 Promise.all 并发发起三个 HTTP GET 请求——/api/records/stats/today 获取 6 个聚合指标（后端执行多条 COUNT 和 AVG SQL）、/api/records/stats/hourly 获取 24 小时分布（GROUP BY HOUR 查询）、/api/records?page=0&amp;size=5 获取最近 5 条记录。三个请求的响应 JSON 分别解构赋值至 stats 响应式对象（驱动统计卡片）、hourlyData ref 数组（驱动 ECharts 柱状图数据源）、recentRecords ref 数组（驱动表格行 v-for 渲染）。同时 setInterval 每 10 秒重新调用 loadData() 实现自动刷新。</w:t>
      </w:r>
    </w:p>
    <w:p>
      <w:r>
        <w:rPr>
          <w:b w:val="0"/>
          <w:sz w:val="22"/>
        </w:rPr>
        <w:t>AI 实验室页面与 FastAPI Agent 的交互采用 SSE（Server-Sent Events）流式协议，区别于传统的请求-响应模式。用户点击开始识别后，前端通过 fetch API 发送 POST /agent-api/recognize，携带 image_path 参数。Vite 代理将路径重写为 /api/recognize 后转发至 FastAPI（端口 8000）。FastAPI 启动 GraphAgent 6 节点流水线，通过 EventSourceResponse 持续推送 SSE 事件：tool_call（工具名称和参数）、tool_result（工具返回结果摘要）、text_delta（流式文本片段）、final（最终车牌号和黑名单结果）、error（异常信息）、done（流结束标记）。前端使用 response.body.getReader() 按行解析 SSE 数据流，根据事件类型实时追加至管线进度组件和结果卡片。对话模式发送至 /agent-api/chat，流程类似但走 LlmAgent 而非 GraphAgent，LLM 自主决策工具调用链。</w:t>
      </w:r>
    </w:p>
    <w:p>
      <w:pPr>
        <w:pStyle w:val="Heading2"/>
      </w:pPr>
      <w:r>
        <w:rPr>
          <w:color w:val="000000"/>
        </w:rPr>
        <w:t>六、实验问题及原因</w:t>
      </w:r>
    </w:p>
    <w:p>
      <w:r>
        <w:rPr>
          <w:b w:val="0"/>
          <w:sz w:val="22"/>
        </w:rPr>
        <w:t>1. SVM 字符混淆问题。HOG 特征对形近字符（如粤与鄂、B与8、D与0、2与Z等）的笔画细节区分能力有限，导致置信度低于 0.85，影响最终识别准确率。解决方案：引入 LLM 二次校验机制，结合混淆字符对照表进行上下文推理验证，有效提升了低置信度字符的识别准确率。</w:t>
      </w:r>
    </w:p>
    <w:p>
      <w:r>
        <w:rPr>
          <w:b w:val="0"/>
          <w:sz w:val="22"/>
        </w:rPr>
        <w:t>2. 复杂光照条件下的定位失败。在强光反光、夜间或阴影不均匀场景下，HSV 颜色定位算法的固定分量阈值对光照变化鲁棒性不足，颜色分量范围漂移导致定位失败或误定位。解决方案：引入直方图均衡化预处理改善光照分布不均问题，或使用深度学习目标检测模型（如 YOLO）替代传统颜色定位。</w:t>
      </w:r>
    </w:p>
    <w:p>
      <w:r>
        <w:rPr>
          <w:b w:val="0"/>
          <w:sz w:val="22"/>
        </w:rPr>
        <w:t>3. DeepSeek API 调用超时与降级。在高峰期或网络不稳定时，LLM 二次校验请求可能出现 &gt;10s 超时或 429 限流错误。解决方案：使用 tenacity 库实现指数退避重试机制（最多 3 次重试，总超时 30 秒），超时后自动降级为 SVM 原始结果，确保系统在任何情况下都能返回可用输出。</w:t>
      </w:r>
    </w:p>
    <w:p>
      <w:r>
        <w:rPr>
          <w:b w:val="0"/>
          <w:sz w:val="22"/>
        </w:rPr>
        <w:t>4. Docker 容器间网络通信问题。Spring Boot 容器调用 FastAPI 容器时，配置文件中的 localhost 指向自身容器而非目标容器，导致连接被拒。解决方案：在 Docker Compose 中使用服务名（如 fastapi:8000）代替 localhost 进行容器间通信，配合 Nginx 反向代理统一对外暴露 API。</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