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EF827E3">
      <w:pPr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厂商信息</w:t>
      </w:r>
      <w:bookmarkStart w:id="0" w:name="_GoBack"/>
      <w:bookmarkEnd w:id="0"/>
    </w:p>
    <w:p w14:paraId="3966E365">
      <w:pPr>
        <w:rPr>
          <w:rFonts w:hint="default"/>
          <w:b/>
          <w:bCs/>
          <w:sz w:val="21"/>
          <w:szCs w:val="2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 xml:space="preserve">    </w:t>
      </w:r>
      <w:r>
        <w:rPr>
          <w:rFonts w:hint="eastAsia"/>
          <w:b/>
          <w:bCs/>
          <w:sz w:val="24"/>
          <w:szCs w:val="24"/>
          <w:lang w:val="en-US" w:eastAsia="zh-CN"/>
        </w:rPr>
        <w:t>公司名：</w:t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bdr w:val="none" w:color="auto" w:sz="0" w:space="0"/>
          <w:shd w:val="clear" w:color="auto" w:fill="auto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bdr w:val="none" w:color="auto" w:sz="0" w:space="0"/>
          <w:shd w:val="clear" w:color="auto" w:fill="auto"/>
          <w14:textFill>
            <w14:solidFill>
              <w14:schemeClr w14:val="tx1"/>
            </w14:solidFill>
          </w14:textFill>
        </w:rPr>
        <w:instrText xml:space="preserve"> HYPERLINK "https://baike.baidu.com/item/%E5%8C%97%E4%BA%AC%E5%A5%87%E8%99%8E%E7%A7%91%E6%8A%80%E6%9C%89%E9%99%90%E5%85%AC%E5%8F%B8/6471948?fromModule=lemma_inlink" \t "https://baike.baidu.com/item/%E5%A5%87%E8%99%8E360/_blank" </w:instrText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bdr w:val="none" w:color="auto" w:sz="0" w:space="0"/>
          <w:shd w:val="clear" w:color="auto" w:fill="auto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8"/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bdr w:val="none" w:color="auto" w:sz="0" w:space="0"/>
          <w:shd w:val="clear" w:color="auto" w:fill="auto"/>
          <w14:textFill>
            <w14:solidFill>
              <w14:schemeClr w14:val="tx1"/>
            </w14:solidFill>
          </w14:textFill>
        </w:rPr>
        <w:t>北京奇虎科技有限公司</w:t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bdr w:val="none" w:color="auto" w:sz="0" w:space="0"/>
          <w:shd w:val="clear" w:color="auto" w:fill="auto"/>
          <w14:textFill>
            <w14:solidFill>
              <w14:schemeClr w14:val="tx1"/>
            </w14:solidFill>
          </w14:textFill>
        </w:rPr>
        <w:fldChar w:fldCharType="end"/>
      </w:r>
    </w:p>
    <w:p w14:paraId="6EFE1E1B">
      <w:pPr>
        <w:ind w:firstLine="720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安全产品：</w:t>
      </w:r>
      <w:r>
        <w:rPr>
          <w:rFonts w:hint="eastAsia" w:ascii="宋体" w:hAnsi="宋体" w:eastAsia="宋体" w:cs="宋体"/>
          <w:b w:val="0"/>
          <w:bCs w:val="0"/>
          <w:sz w:val="24"/>
          <w:szCs w:val="32"/>
          <w:lang w:val="en-US" w:eastAsia="zh-CN"/>
        </w:rPr>
        <w:t>360安全卫士</w:t>
      </w:r>
    </w:p>
    <w:p w14:paraId="4162C672">
      <w:pPr>
        <w:rPr>
          <w:b/>
          <w:bCs/>
          <w:sz w:val="36"/>
          <w:szCs w:val="44"/>
        </w:rPr>
      </w:pPr>
    </w:p>
    <w:p w14:paraId="7177E21C">
      <w:pPr>
        <w:rPr>
          <w:b/>
          <w:bCs/>
          <w:sz w:val="36"/>
          <w:szCs w:val="44"/>
        </w:rPr>
      </w:pPr>
      <w:r>
        <w:rPr>
          <w:b/>
          <w:bCs/>
          <w:sz w:val="36"/>
          <w:szCs w:val="44"/>
        </w:rPr>
        <w:t>漏洞基本信息</w:t>
      </w:r>
    </w:p>
    <w:p w14:paraId="1F2A32C0">
      <w:pPr>
        <w:ind w:left="720"/>
        <w:rPr>
          <w:sz w:val="24"/>
          <w:szCs w:val="32"/>
        </w:rPr>
      </w:pPr>
      <w:r>
        <w:rPr>
          <w:b/>
          <w:bCs/>
          <w:sz w:val="24"/>
          <w:szCs w:val="32"/>
        </w:rPr>
        <w:t>漏洞名称</w:t>
      </w:r>
      <w:r>
        <w:rPr>
          <w:sz w:val="24"/>
          <w:szCs w:val="32"/>
        </w:rPr>
        <w:t>：Windows LSASS 进程内存非法获取漏洞</w:t>
      </w:r>
    </w:p>
    <w:p w14:paraId="30E9BCDA">
      <w:pPr>
        <w:ind w:left="720"/>
        <w:rPr>
          <w:sz w:val="24"/>
          <w:szCs w:val="32"/>
        </w:rPr>
      </w:pPr>
      <w:r>
        <w:rPr>
          <w:b/>
          <w:bCs/>
          <w:sz w:val="24"/>
          <w:szCs w:val="32"/>
        </w:rPr>
        <w:t>漏洞类型</w:t>
      </w:r>
      <w:r>
        <w:rPr>
          <w:sz w:val="24"/>
          <w:szCs w:val="32"/>
        </w:rPr>
        <w:t>：敏感信息泄露</w:t>
      </w:r>
    </w:p>
    <w:p w14:paraId="771EFE04">
      <w:pPr>
        <w:ind w:left="720"/>
        <w:rPr>
          <w:sz w:val="24"/>
          <w:szCs w:val="32"/>
        </w:rPr>
      </w:pPr>
      <w:r>
        <w:rPr>
          <w:b/>
          <w:bCs/>
          <w:sz w:val="24"/>
          <w:szCs w:val="32"/>
        </w:rPr>
        <w:t>影响范围</w:t>
      </w:r>
      <w:r>
        <w:rPr>
          <w:sz w:val="24"/>
          <w:szCs w:val="32"/>
        </w:rPr>
        <w:t>：Windows 8/10</w:t>
      </w:r>
    </w:p>
    <w:p w14:paraId="7B03E113">
      <w:pPr>
        <w:ind w:left="1440" w:firstLine="480" w:firstLineChars="200"/>
        <w:rPr>
          <w:sz w:val="24"/>
          <w:szCs w:val="32"/>
        </w:rPr>
      </w:pPr>
      <w:r>
        <w:rPr>
          <w:sz w:val="24"/>
          <w:szCs w:val="32"/>
        </w:rPr>
        <w:t xml:space="preserve">Windows </w:t>
      </w:r>
      <w:r>
        <w:rPr>
          <w:rFonts w:hint="eastAsia"/>
          <w:sz w:val="24"/>
          <w:szCs w:val="32"/>
          <w:lang w:val="en-US" w:eastAsia="zh-CN"/>
        </w:rPr>
        <w:t xml:space="preserve">server </w:t>
      </w:r>
      <w:r>
        <w:rPr>
          <w:sz w:val="24"/>
          <w:szCs w:val="32"/>
        </w:rPr>
        <w:t>2012/2016/2019</w:t>
      </w:r>
    </w:p>
    <w:p w14:paraId="5EDE9F65">
      <w:pPr>
        <w:ind w:left="720"/>
        <w:rPr>
          <w:sz w:val="24"/>
          <w:szCs w:val="32"/>
        </w:rPr>
      </w:pPr>
      <w:r>
        <w:rPr>
          <w:b/>
          <w:bCs/>
          <w:sz w:val="24"/>
          <w:szCs w:val="32"/>
        </w:rPr>
        <w:t>漏洞等级</w:t>
      </w:r>
      <w:r>
        <w:rPr>
          <w:sz w:val="24"/>
          <w:szCs w:val="32"/>
        </w:rPr>
        <w:t>：高危</w:t>
      </w:r>
    </w:p>
    <w:p w14:paraId="59642D00">
      <w:pPr>
        <w:rPr>
          <w:b/>
          <w:bCs/>
          <w:sz w:val="36"/>
          <w:szCs w:val="44"/>
        </w:rPr>
      </w:pPr>
    </w:p>
    <w:p w14:paraId="7722AFB5">
      <w:pPr>
        <w:rPr>
          <w:rFonts w:hint="eastAsia"/>
          <w:b/>
          <w:bCs/>
          <w:sz w:val="36"/>
          <w:szCs w:val="44"/>
        </w:rPr>
      </w:pPr>
      <w:r>
        <w:rPr>
          <w:b/>
          <w:bCs/>
          <w:sz w:val="36"/>
          <w:szCs w:val="44"/>
        </w:rPr>
        <w:t>漏洞原理</w:t>
      </w:r>
    </w:p>
    <w:p w14:paraId="08BBA7B8">
      <w:pPr>
        <w:numPr>
          <w:ilvl w:val="0"/>
          <w:numId w:val="1"/>
        </w:num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利用 SE_DEBUG_NAME 特权绕过进程保护，获取 LSASS 句柄。</w:t>
      </w:r>
    </w:p>
    <w:p w14:paraId="221E0627">
      <w:pPr>
        <w:numPr>
          <w:ilvl w:val="0"/>
          <w:numId w:val="2"/>
        </w:num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通过内存转储获取 LSASS 中的敏感信息（NTLM 哈希、Kerberos 票据等）。</w:t>
      </w:r>
    </w:p>
    <w:p w14:paraId="74DEC481">
      <w:pPr>
        <w:numPr>
          <w:ilvl w:val="0"/>
          <w:numId w:val="3"/>
        </w:num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攻击者可通过 Mimikatz 等工具从转储文件中提取凭证</w:t>
      </w:r>
    </w:p>
    <w:p w14:paraId="0DE84C08">
      <w:pPr>
        <w:rPr>
          <w:rFonts w:hint="eastAsia"/>
          <w:b/>
          <w:bCs/>
          <w:sz w:val="36"/>
          <w:szCs w:val="44"/>
        </w:rPr>
      </w:pPr>
    </w:p>
    <w:p w14:paraId="76E733AD">
      <w:pPr>
        <w:rPr>
          <w:b/>
          <w:bCs/>
          <w:sz w:val="36"/>
          <w:szCs w:val="44"/>
        </w:rPr>
      </w:pPr>
      <w:r>
        <w:rPr>
          <w:b/>
          <w:bCs/>
          <w:sz w:val="36"/>
          <w:szCs w:val="44"/>
        </w:rPr>
        <w:t>代码功能模块审计</w:t>
      </w:r>
    </w:p>
    <w:p w14:paraId="36ADC7D3">
      <w:pPr>
        <w:ind w:firstLine="720"/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t>模块 1：</w:t>
      </w:r>
      <w:r>
        <w:rPr>
          <w:b/>
          <w:bCs/>
          <w:sz w:val="24"/>
          <w:szCs w:val="32"/>
        </w:rPr>
        <w:t>权限提升EnableDebugPrivilege 函数</w:t>
      </w:r>
      <w:r>
        <w:rPr>
          <w:rFonts w:hint="eastAsia"/>
          <w:b/>
          <w:bCs/>
          <w:sz w:val="24"/>
          <w:szCs w:val="32"/>
        </w:rPr>
        <w:t>（自定义）</w:t>
      </w:r>
    </w:p>
    <w:p w14:paraId="10192858">
      <w:pPr>
        <w:ind w:firstLine="720"/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关键函数（</w:t>
      </w:r>
      <w:r>
        <w:rPr>
          <w:b/>
          <w:bCs/>
          <w:sz w:val="22"/>
          <w:szCs w:val="28"/>
        </w:rPr>
        <w:t>获取调试权限LUID</w:t>
      </w:r>
      <w:r>
        <w:rPr>
          <w:rFonts w:hint="eastAsia"/>
          <w:b/>
          <w:bCs/>
          <w:sz w:val="22"/>
          <w:szCs w:val="28"/>
        </w:rPr>
        <w:t>）</w:t>
      </w:r>
    </w:p>
    <w:p w14:paraId="110E51A1">
      <w:pPr>
        <w:ind w:firstLine="720"/>
        <w:rPr>
          <w:rFonts w:hint="eastAsia"/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drawing>
          <wp:inline distT="0" distB="0" distL="0" distR="0">
            <wp:extent cx="5274310" cy="1184910"/>
            <wp:effectExtent l="0" t="0" r="2540" b="0"/>
            <wp:docPr id="286930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3067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1865">
      <w:pPr>
        <w:ind w:firstLine="720"/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关键函数（</w:t>
      </w:r>
      <w:r>
        <w:rPr>
          <w:b/>
          <w:bCs/>
          <w:sz w:val="22"/>
          <w:szCs w:val="28"/>
        </w:rPr>
        <w:t>启用SE_DEBUG_NAME特权</w:t>
      </w:r>
      <w:r>
        <w:rPr>
          <w:rFonts w:hint="eastAsia"/>
          <w:b/>
          <w:bCs/>
          <w:sz w:val="22"/>
          <w:szCs w:val="28"/>
        </w:rPr>
        <w:t>）</w:t>
      </w:r>
    </w:p>
    <w:p w14:paraId="1A57D9CA">
      <w:pPr>
        <w:ind w:firstLine="720"/>
        <w:rPr>
          <w:rFonts w:hint="eastAsia"/>
          <w:b/>
          <w:bCs/>
          <w:sz w:val="36"/>
          <w:szCs w:val="44"/>
        </w:rPr>
      </w:pPr>
      <w:r>
        <w:rPr>
          <w:b/>
          <w:bCs/>
          <w:sz w:val="24"/>
          <w:szCs w:val="32"/>
        </w:rPr>
        <w:drawing>
          <wp:inline distT="0" distB="0" distL="0" distR="0">
            <wp:extent cx="5274310" cy="716915"/>
            <wp:effectExtent l="0" t="0" r="2540" b="6985"/>
            <wp:docPr id="1008509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09510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1844">
      <w:pPr>
        <w:ind w:firstLine="643" w:firstLineChars="200"/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t>模块 2：</w:t>
      </w:r>
      <w:r>
        <w:rPr>
          <w:b/>
          <w:bCs/>
          <w:sz w:val="24"/>
        </w:rPr>
        <w:t>LSASS 进程定位</w:t>
      </w:r>
    </w:p>
    <w:p w14:paraId="1FA0104A">
      <w:pPr>
        <w:ind w:firstLine="663" w:firstLineChars="300"/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关键函数（</w:t>
      </w:r>
      <w:r>
        <w:rPr>
          <w:b/>
          <w:bCs/>
          <w:sz w:val="22"/>
          <w:szCs w:val="28"/>
        </w:rPr>
        <w:t>创建进程快照</w:t>
      </w:r>
      <w:r>
        <w:rPr>
          <w:rFonts w:hint="eastAsia"/>
          <w:b/>
          <w:bCs/>
          <w:sz w:val="22"/>
          <w:szCs w:val="28"/>
        </w:rPr>
        <w:t>）</w:t>
      </w:r>
    </w:p>
    <w:p w14:paraId="5804E19B">
      <w:pPr>
        <w:ind w:firstLine="663" w:firstLineChars="300"/>
        <w:rPr>
          <w:rFonts w:hint="eastAsia"/>
          <w:b/>
          <w:bCs/>
          <w:sz w:val="22"/>
          <w:szCs w:val="28"/>
        </w:rPr>
      </w:pPr>
      <w:r>
        <w:rPr>
          <w:b/>
          <w:bCs/>
          <w:sz w:val="22"/>
          <w:szCs w:val="28"/>
        </w:rPr>
        <w:drawing>
          <wp:inline distT="0" distB="0" distL="0" distR="0">
            <wp:extent cx="5274310" cy="253365"/>
            <wp:effectExtent l="0" t="0" r="2540" b="0"/>
            <wp:docPr id="1552858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58327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E88E">
      <w:pPr>
        <w:ind w:firstLine="663" w:firstLineChars="300"/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关键函数（进程遍历找到lsass进程）</w:t>
      </w:r>
    </w:p>
    <w:p w14:paraId="2BD6D6F2">
      <w:pPr>
        <w:ind w:left="442" w:hanging="442" w:hangingChars="200"/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 xml:space="preserve"> </w:t>
      </w:r>
      <w:r>
        <w:rPr>
          <w:b/>
          <w:bCs/>
          <w:sz w:val="22"/>
          <w:szCs w:val="28"/>
        </w:rPr>
        <w:drawing>
          <wp:inline distT="0" distB="0" distL="0" distR="0">
            <wp:extent cx="5274310" cy="2639695"/>
            <wp:effectExtent l="0" t="0" r="2540" b="8255"/>
            <wp:docPr id="2375540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5406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DA27">
      <w:pPr>
        <w:rPr>
          <w:b/>
          <w:bCs/>
          <w:sz w:val="36"/>
          <w:szCs w:val="44"/>
        </w:rPr>
      </w:pPr>
      <w:r>
        <w:rPr>
          <w:rFonts w:hint="eastAsia"/>
          <w:b/>
          <w:bCs/>
          <w:sz w:val="36"/>
          <w:szCs w:val="44"/>
        </w:rPr>
        <w:t xml:space="preserve"> </w:t>
      </w:r>
    </w:p>
    <w:p w14:paraId="7336686B">
      <w:pPr>
        <w:ind w:firstLine="361" w:firstLineChars="100"/>
        <w:rPr>
          <w:b/>
          <w:bCs/>
          <w:sz w:val="24"/>
        </w:rPr>
      </w:pPr>
      <w:r>
        <w:rPr>
          <w:b/>
          <w:bCs/>
          <w:sz w:val="36"/>
          <w:szCs w:val="44"/>
        </w:rPr>
        <w:t>模块 3</w:t>
      </w:r>
      <w:r>
        <w:rPr>
          <w:rFonts w:hint="eastAsia"/>
          <w:b/>
          <w:bCs/>
          <w:sz w:val="36"/>
          <w:szCs w:val="44"/>
        </w:rPr>
        <w:t>：</w:t>
      </w:r>
      <w:r>
        <w:rPr>
          <w:b/>
          <w:bCs/>
          <w:sz w:val="24"/>
        </w:rPr>
        <w:t>内存转储（双方法实现）</w:t>
      </w:r>
    </w:p>
    <w:p w14:paraId="0ED619DD">
      <w:pPr>
        <w:ind w:firstLine="331" w:firstLineChars="150"/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关键函数</w:t>
      </w:r>
      <w:r>
        <w:rPr>
          <w:b/>
          <w:bCs/>
          <w:sz w:val="22"/>
          <w:szCs w:val="28"/>
        </w:rPr>
        <w:t>(</w:t>
      </w:r>
      <w:r>
        <w:rPr>
          <w:rFonts w:hint="eastAsia"/>
          <w:b/>
          <w:bCs/>
          <w:sz w:val="22"/>
          <w:szCs w:val="28"/>
        </w:rPr>
        <w:t>方法1：</w:t>
      </w:r>
      <w:r>
        <w:rPr>
          <w:b/>
          <w:bCs/>
          <w:sz w:val="22"/>
          <w:szCs w:val="28"/>
        </w:rPr>
        <w:t>PssCaptureSnapshot)</w:t>
      </w:r>
    </w:p>
    <w:p w14:paraId="2EAA122C">
      <w:pPr>
        <w:ind w:firstLine="361" w:firstLineChars="100"/>
        <w:rPr>
          <w:rFonts w:hint="eastAsia"/>
          <w:b/>
          <w:bCs/>
          <w:sz w:val="36"/>
          <w:szCs w:val="44"/>
        </w:rPr>
      </w:pPr>
      <w:r>
        <w:rPr>
          <w:b/>
          <w:bCs/>
          <w:sz w:val="36"/>
          <w:szCs w:val="44"/>
        </w:rPr>
        <w:drawing>
          <wp:inline distT="0" distB="0" distL="0" distR="0">
            <wp:extent cx="5274310" cy="2062480"/>
            <wp:effectExtent l="0" t="0" r="2540" b="0"/>
            <wp:docPr id="17397158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1584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A826">
      <w:pPr>
        <w:rPr>
          <w:b/>
          <w:bCs/>
          <w:sz w:val="22"/>
          <w:szCs w:val="28"/>
        </w:rPr>
      </w:pPr>
      <w:r>
        <w:rPr>
          <w:rFonts w:hint="eastAsia"/>
          <w:b/>
          <w:bCs/>
          <w:sz w:val="36"/>
          <w:szCs w:val="44"/>
        </w:rPr>
        <w:t xml:space="preserve"> </w:t>
      </w:r>
      <w:r>
        <w:rPr>
          <w:rFonts w:hint="eastAsia"/>
          <w:b/>
          <w:bCs/>
          <w:sz w:val="22"/>
          <w:szCs w:val="28"/>
        </w:rPr>
        <w:t>关键函数（方法2：</w:t>
      </w:r>
      <w:r>
        <w:rPr>
          <w:b/>
          <w:bCs/>
          <w:sz w:val="22"/>
          <w:szCs w:val="28"/>
        </w:rPr>
        <w:t>MiniDumpWriteDump</w:t>
      </w:r>
      <w:r>
        <w:rPr>
          <w:rFonts w:hint="eastAsia"/>
          <w:b/>
          <w:bCs/>
          <w:sz w:val="22"/>
          <w:szCs w:val="28"/>
        </w:rPr>
        <w:t xml:space="preserve"> ）</w:t>
      </w:r>
    </w:p>
    <w:p w14:paraId="76B4B862">
      <w:pPr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 xml:space="preserve"> </w:t>
      </w:r>
      <w:r>
        <w:rPr>
          <w:b/>
          <w:bCs/>
          <w:sz w:val="22"/>
          <w:szCs w:val="28"/>
        </w:rPr>
        <w:drawing>
          <wp:inline distT="0" distB="0" distL="0" distR="0">
            <wp:extent cx="5274310" cy="269875"/>
            <wp:effectExtent l="0" t="0" r="2540" b="0"/>
            <wp:docPr id="17847449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74491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2"/>
          <w:szCs w:val="28"/>
        </w:rPr>
        <w:t xml:space="preserve"> </w:t>
      </w:r>
    </w:p>
    <w:p w14:paraId="19E0A092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代码调试运行</w:t>
      </w:r>
    </w:p>
    <w:p w14:paraId="74E38BE6">
      <w:pPr>
        <w:rPr>
          <w:rFonts w:hint="default"/>
          <w:b/>
          <w:bCs/>
          <w:sz w:val="24"/>
          <w:lang w:val="en-US"/>
        </w:rPr>
      </w:pPr>
      <w:r>
        <w:rPr>
          <w:rFonts w:hint="eastAsia"/>
          <w:b/>
          <w:bCs/>
          <w:sz w:val="24"/>
        </w:rPr>
        <w:t xml:space="preserve"> 使用弹窗调试的方法显示代码在运行过程中运行逻辑，此处演示二个环境</w:t>
      </w:r>
      <w:r>
        <w:rPr>
          <w:rFonts w:hint="default"/>
          <w:b/>
          <w:bCs/>
          <w:sz w:val="24"/>
          <w:lang w:val="en-US"/>
        </w:rPr>
        <w:t>(</w:t>
      </w:r>
      <w:r>
        <w:rPr>
          <w:rFonts w:hint="eastAsia"/>
          <w:b/>
          <w:bCs/>
          <w:sz w:val="24"/>
          <w:lang w:val="en-US" w:eastAsia="zh-CN"/>
        </w:rPr>
        <w:t>调试源码下载路径https://github.com/woshidaheike/360hashdump/tree/main/debug</w:t>
      </w:r>
      <w:r>
        <w:rPr>
          <w:rFonts w:hint="default"/>
          <w:b/>
          <w:bCs/>
          <w:sz w:val="24"/>
          <w:lang w:val="en-US"/>
        </w:rPr>
        <w:t>)</w:t>
      </w:r>
    </w:p>
    <w:p w14:paraId="2F0E4DAA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 </w:t>
      </w:r>
    </w:p>
    <w:p w14:paraId="19649E90">
      <w:pPr>
        <w:rPr>
          <w:b/>
          <w:bCs/>
          <w:sz w:val="24"/>
        </w:rPr>
      </w:pPr>
    </w:p>
    <w:p w14:paraId="299DBB3C">
      <w:pPr>
        <w:rPr>
          <w:b/>
          <w:bCs/>
          <w:sz w:val="24"/>
        </w:rPr>
      </w:pPr>
    </w:p>
    <w:p w14:paraId="5321E131">
      <w:pPr>
        <w:rPr>
          <w:b/>
          <w:bCs/>
          <w:sz w:val="24"/>
        </w:rPr>
      </w:pPr>
    </w:p>
    <w:p w14:paraId="17A044F4">
      <w:pPr>
        <w:rPr>
          <w:b/>
          <w:bCs/>
          <w:sz w:val="24"/>
        </w:rPr>
      </w:pPr>
    </w:p>
    <w:p w14:paraId="675A8598">
      <w:pPr>
        <w:rPr>
          <w:b/>
          <w:bCs/>
          <w:sz w:val="24"/>
        </w:rPr>
      </w:pPr>
    </w:p>
    <w:p w14:paraId="792698B8">
      <w:pPr>
        <w:rPr>
          <w:b/>
          <w:bCs/>
          <w:sz w:val="24"/>
        </w:rPr>
      </w:pPr>
    </w:p>
    <w:p w14:paraId="78580E43">
      <w:pPr>
        <w:rPr>
          <w:b/>
          <w:bCs/>
          <w:sz w:val="24"/>
        </w:rPr>
      </w:pPr>
      <w:r>
        <w:rPr>
          <w:b/>
          <w:bCs/>
          <w:sz w:val="24"/>
        </w:rPr>
        <w:t>W</w:t>
      </w:r>
      <w:r>
        <w:rPr>
          <w:rFonts w:hint="eastAsia"/>
          <w:b/>
          <w:bCs/>
          <w:sz w:val="24"/>
        </w:rPr>
        <w:t>in10</w:t>
      </w:r>
    </w:p>
    <w:p w14:paraId="4F1C8CB0">
      <w:pPr>
        <w:rPr>
          <w:b/>
          <w:bCs/>
          <w:sz w:val="24"/>
        </w:rPr>
      </w:pPr>
      <w:r>
        <w:rPr>
          <w:b/>
          <w:bCs/>
          <w:sz w:val="24"/>
        </w:rPr>
        <w:drawing>
          <wp:inline distT="0" distB="0" distL="0" distR="0">
            <wp:extent cx="5274310" cy="3815080"/>
            <wp:effectExtent l="0" t="0" r="2540" b="0"/>
            <wp:docPr id="1805463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6374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22A1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 </w:t>
      </w:r>
      <w:r>
        <w:rPr>
          <w:b/>
          <w:bCs/>
          <w:sz w:val="24"/>
        </w:rPr>
        <w:drawing>
          <wp:inline distT="0" distB="0" distL="0" distR="0">
            <wp:extent cx="5274310" cy="2411095"/>
            <wp:effectExtent l="0" t="0" r="2540" b="8255"/>
            <wp:docPr id="42400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018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3C13">
      <w:pPr>
        <w:rPr>
          <w:b/>
          <w:bCs/>
          <w:sz w:val="24"/>
        </w:rPr>
      </w:pPr>
    </w:p>
    <w:p w14:paraId="459203A1">
      <w:pPr>
        <w:rPr>
          <w:b/>
          <w:bCs/>
          <w:sz w:val="24"/>
        </w:rPr>
      </w:pPr>
    </w:p>
    <w:p w14:paraId="1D6B7618">
      <w:pPr>
        <w:rPr>
          <w:b/>
          <w:bCs/>
          <w:sz w:val="24"/>
        </w:rPr>
      </w:pPr>
    </w:p>
    <w:p w14:paraId="590700D2">
      <w:pPr>
        <w:rPr>
          <w:b/>
          <w:bCs/>
          <w:sz w:val="24"/>
        </w:rPr>
      </w:pPr>
    </w:p>
    <w:p w14:paraId="216BDB6D">
      <w:pPr>
        <w:rPr>
          <w:b/>
          <w:bCs/>
          <w:sz w:val="24"/>
        </w:rPr>
      </w:pPr>
    </w:p>
    <w:p w14:paraId="0C29AAB5">
      <w:pPr>
        <w:rPr>
          <w:b/>
          <w:bCs/>
          <w:sz w:val="24"/>
        </w:rPr>
      </w:pPr>
    </w:p>
    <w:p w14:paraId="0A706392">
      <w:pPr>
        <w:rPr>
          <w:b/>
          <w:bCs/>
          <w:sz w:val="24"/>
        </w:rPr>
      </w:pPr>
    </w:p>
    <w:p w14:paraId="20DA9A2E">
      <w:pPr>
        <w:rPr>
          <w:b/>
          <w:bCs/>
          <w:sz w:val="24"/>
        </w:rPr>
      </w:pPr>
    </w:p>
    <w:p w14:paraId="70AF52BE">
      <w:pPr>
        <w:rPr>
          <w:b/>
          <w:bCs/>
          <w:sz w:val="24"/>
        </w:rPr>
      </w:pPr>
    </w:p>
    <w:p w14:paraId="36C6EB68">
      <w:pPr>
        <w:rPr>
          <w:b/>
          <w:bCs/>
          <w:sz w:val="24"/>
        </w:rPr>
      </w:pPr>
    </w:p>
    <w:p w14:paraId="6EFC53BB">
      <w:pPr>
        <w:rPr>
          <w:b/>
          <w:bCs/>
          <w:sz w:val="24"/>
        </w:rPr>
      </w:pPr>
      <w:r>
        <w:rPr>
          <w:b/>
          <w:bCs/>
          <w:sz w:val="24"/>
        </w:rPr>
        <w:t>W</w:t>
      </w:r>
      <w:r>
        <w:rPr>
          <w:rFonts w:hint="eastAsia"/>
          <w:b/>
          <w:bCs/>
          <w:sz w:val="24"/>
        </w:rPr>
        <w:t>in server 2016</w:t>
      </w:r>
    </w:p>
    <w:p w14:paraId="31505BE0">
      <w:pPr>
        <w:rPr>
          <w:rFonts w:hint="eastAsia"/>
          <w:b/>
          <w:bCs/>
          <w:sz w:val="24"/>
        </w:rPr>
      </w:pPr>
      <w:r>
        <w:rPr>
          <w:b/>
          <w:bCs/>
          <w:sz w:val="24"/>
        </w:rPr>
        <w:drawing>
          <wp:inline distT="0" distB="0" distL="0" distR="0">
            <wp:extent cx="5274310" cy="3921125"/>
            <wp:effectExtent l="0" t="0" r="2540" b="3175"/>
            <wp:docPr id="286329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2997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AE59">
      <w:pPr>
        <w:rPr>
          <w:rFonts w:hint="eastAsia"/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drawing>
          <wp:inline distT="0" distB="0" distL="0" distR="0">
            <wp:extent cx="5274310" cy="3841750"/>
            <wp:effectExtent l="0" t="0" r="2540" b="6350"/>
            <wp:docPr id="425169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6979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9888">
      <w:pPr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 xml:space="preserve"> </w:t>
      </w:r>
    </w:p>
    <w:p w14:paraId="2CEC831F">
      <w:pPr>
        <w:rPr>
          <w:rFonts w:hint="eastAsia"/>
          <w:b/>
          <w:bCs/>
          <w:sz w:val="22"/>
          <w:szCs w:val="28"/>
        </w:rPr>
      </w:pPr>
    </w:p>
    <w:p w14:paraId="7B9A9039">
      <w:pPr>
        <w:rPr>
          <w:rFonts w:hint="eastAsia"/>
          <w:b/>
          <w:bCs/>
          <w:sz w:val="36"/>
          <w:szCs w:val="44"/>
        </w:rPr>
      </w:pPr>
    </w:p>
    <w:p w14:paraId="1450B947">
      <w:pPr>
        <w:rPr>
          <w:rFonts w:hint="eastAsia"/>
          <w:b/>
          <w:bCs/>
          <w:sz w:val="36"/>
          <w:szCs w:val="44"/>
        </w:rPr>
      </w:pPr>
    </w:p>
    <w:p w14:paraId="045E025F">
      <w:pPr>
        <w:rPr>
          <w:rFonts w:hint="eastAsia"/>
          <w:sz w:val="24"/>
          <w:szCs w:val="32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583E65"/>
    <w:multiLevelType w:val="multilevel"/>
    <w:tmpl w:val="05583E65"/>
    <w:lvl w:ilvl="0" w:tentative="0">
      <w:start w:val="1"/>
      <w:numFmt w:val="lowerRoman"/>
      <w:lvlText w:val="%1."/>
      <w:lvlJc w:val="right"/>
      <w:pPr>
        <w:tabs>
          <w:tab w:val="left" w:pos="720"/>
        </w:tabs>
        <w:ind w:left="720" w:hanging="360"/>
      </w:pPr>
    </w:lvl>
    <w:lvl w:ilvl="1" w:tentative="0">
      <w:start w:val="1"/>
      <w:numFmt w:val="lowerRoman"/>
      <w:lvlText w:val="%2."/>
      <w:lvlJc w:val="righ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</w:lvl>
    <w:lvl w:ilvl="3" w:tentative="0">
      <w:start w:val="1"/>
      <w:numFmt w:val="lowerRoman"/>
      <w:lvlText w:val="%4."/>
      <w:lvlJc w:val="right"/>
      <w:pPr>
        <w:tabs>
          <w:tab w:val="left" w:pos="2880"/>
        </w:tabs>
        <w:ind w:left="2880" w:hanging="360"/>
      </w:pPr>
    </w:lvl>
    <w:lvl w:ilvl="4" w:tentative="0">
      <w:start w:val="1"/>
      <w:numFmt w:val="lowerRoman"/>
      <w:lvlText w:val="%5."/>
      <w:lvlJc w:val="righ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360"/>
      </w:pPr>
    </w:lvl>
    <w:lvl w:ilvl="6" w:tentative="0">
      <w:start w:val="1"/>
      <w:numFmt w:val="lowerRoman"/>
      <w:lvlText w:val="%7."/>
      <w:lvlJc w:val="right"/>
      <w:pPr>
        <w:tabs>
          <w:tab w:val="left" w:pos="5040"/>
        </w:tabs>
        <w:ind w:left="5040" w:hanging="360"/>
      </w:pPr>
    </w:lvl>
    <w:lvl w:ilvl="7" w:tentative="0">
      <w:start w:val="1"/>
      <w:numFmt w:val="lowerRoman"/>
      <w:lvlText w:val="%8."/>
      <w:lvlJc w:val="righ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360"/>
      </w:pPr>
    </w:lvl>
  </w:abstractNum>
  <w:num w:numId="1">
    <w:abstractNumId w:val="0"/>
    <w:lvlOverride w:ilvl="0">
      <w:lvl w:ilvl="0" w:tentative="1">
        <w:start w:val="0"/>
        <w:numFmt w:val="decimal"/>
        <w:lvlText w:val="%1."/>
        <w:lvlJc w:val="left"/>
      </w:lvl>
    </w:lvlOverride>
  </w:num>
  <w:num w:numId="2">
    <w:abstractNumId w:val="0"/>
    <w:lvlOverride w:ilvl="0">
      <w:lvl w:ilvl="0" w:tentative="1">
        <w:start w:val="0"/>
        <w:numFmt w:val="decimal"/>
        <w:lvlText w:val="%1."/>
        <w:lvlJc w:val="left"/>
      </w:lvl>
    </w:lvlOverride>
  </w:num>
  <w:num w:numId="3">
    <w:abstractNumId w:val="0"/>
    <w:lvlOverride w:ilvl="0">
      <w:lvl w:ilvl="0" w:tentative="1">
        <w:start w:val="0"/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687B"/>
    <w:rsid w:val="003B0CD0"/>
    <w:rsid w:val="006E291E"/>
    <w:rsid w:val="0082770C"/>
    <w:rsid w:val="008A285E"/>
    <w:rsid w:val="00B822D2"/>
    <w:rsid w:val="00DC1C06"/>
    <w:rsid w:val="00EA0F92"/>
    <w:rsid w:val="00F37B2A"/>
    <w:rsid w:val="00F831D9"/>
    <w:rsid w:val="00FA5096"/>
    <w:rsid w:val="00FA687B"/>
    <w:rsid w:val="08760957"/>
    <w:rsid w:val="13AA2F7F"/>
    <w:rsid w:val="1CCE4466"/>
    <w:rsid w:val="38ED3A6E"/>
    <w:rsid w:val="472B74E0"/>
    <w:rsid w:val="5AE34065"/>
    <w:rsid w:val="63593BBD"/>
    <w:rsid w:val="7A2B5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spacing w:beforeAutospacing="1" w:afterAutospacing="1"/>
      <w:jc w:val="left"/>
      <w:outlineLvl w:val="3"/>
    </w:pPr>
    <w:rPr>
      <w:rFonts w:hint="eastAsia" w:ascii="宋体" w:hAnsi="宋体" w:eastAsia="宋体" w:cs="Times New Roman"/>
      <w:b/>
      <w:bCs/>
      <w:kern w:val="0"/>
      <w:sz w:val="24"/>
    </w:rPr>
  </w:style>
  <w:style w:type="paragraph" w:styleId="3">
    <w:name w:val="heading 5"/>
    <w:basedOn w:val="1"/>
    <w:next w:val="1"/>
    <w:link w:val="9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6">
    <w:name w:val="Default Paragraph Font"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link w:val="10"/>
    <w:qFormat/>
    <w:uiPriority w:val="0"/>
    <w:rPr>
      <w:rFonts w:ascii="Courier New" w:hAnsi="Courier New" w:cs="Courier New"/>
      <w:sz w:val="20"/>
      <w:szCs w:val="20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  <w:style w:type="character" w:customStyle="1" w:styleId="9">
    <w:name w:val="标题 5 字符"/>
    <w:basedOn w:val="6"/>
    <w:link w:val="3"/>
    <w:semiHidden/>
    <w:qFormat/>
    <w:uiPriority w:val="0"/>
    <w:rPr>
      <w:rFonts w:asciiTheme="minorHAnsi" w:hAnsiTheme="minorHAnsi" w:eastAsiaTheme="minorEastAsia" w:cstheme="minorBidi"/>
      <w:b/>
      <w:bCs/>
      <w:kern w:val="2"/>
      <w:sz w:val="28"/>
      <w:szCs w:val="28"/>
    </w:rPr>
  </w:style>
  <w:style w:type="character" w:customStyle="1" w:styleId="10">
    <w:name w:val="HTML 预设格式 字符"/>
    <w:basedOn w:val="6"/>
    <w:link w:val="4"/>
    <w:qFormat/>
    <w:uiPriority w:val="0"/>
    <w:rPr>
      <w:rFonts w:ascii="Courier New" w:hAnsi="Courier New" w:cs="Courier New" w:eastAsiaTheme="minorEastAsia"/>
      <w:kern w:val="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291</Words>
  <Characters>527</Characters>
  <Lines>46</Lines>
  <Paragraphs>79</Paragraphs>
  <TotalTime>132</TotalTime>
  <ScaleCrop>false</ScaleCrop>
  <LinksUpToDate>false</LinksUpToDate>
  <CharactersWithSpaces>559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2025-06-10T10:47:00Z</dcterms:created>
  <dc:creator>32419</dc:creator>
  <cp:lastModifiedBy>WPS_1674872233</cp:lastModifiedBy>
  <dcterms:modified xsi:type="dcterms:W3CDTF">2025-06-18T11:08:04Z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KSOTemplateDocerSaveRecord">
    <vt:lpwstr>eyJoZGlkIjoiNjk1NWQyNjRjMDIyZjY2YjQyNGYzMTMwZjk4MDBmNTQiLCJ1c2VySWQiOiIxNDY4MzczNjE4In0=</vt:lpwstr>
  </property>
  <property fmtid="{D5CDD505-2E9C-101B-9397-08002B2CF9AE}" pid="4" name="ICV">
    <vt:lpwstr>52A5AEF745D346A6970D0B992CE1DE0B_12</vt:lpwstr>
  </property>
</Properties>
</file>