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single" w:color="CCCCCC" w:sz="8" w:space="8"/>
          <w:right w:val="none" w:color="auto" w:sz="0" w:space="0"/>
        </w:pBdr>
        <w:shd w:val="clear" w:fill="F4F4E1"/>
        <w:spacing w:before="0" w:beforeAutospacing="0" w:after="0" w:afterAutospacing="0"/>
        <w:ind w:left="0" w:right="0"/>
        <w:jc w:val="center"/>
        <w:rPr>
          <w:rFonts w:ascii="Trebuchet MS" w:hAnsi="Trebuchet MS" w:cs="Trebuchet MS"/>
          <w:b w:val="0"/>
          <w:bCs w:val="0"/>
          <w:caps/>
          <w:color w:val="000000"/>
          <w:spacing w:val="160"/>
          <w:sz w:val="31"/>
          <w:szCs w:val="31"/>
        </w:rPr>
      </w:pPr>
      <w:r>
        <w:rPr>
          <w:rFonts w:hint="default" w:ascii="Trebuchet MS" w:hAnsi="Trebuchet MS" w:cs="Trebuchet MS"/>
          <w:b w:val="0"/>
          <w:bCs w:val="0"/>
          <w:i w:val="0"/>
          <w:iCs w:val="0"/>
          <w:caps/>
          <w:color w:val="000000"/>
          <w:spacing w:val="160"/>
          <w:sz w:val="31"/>
          <w:szCs w:val="31"/>
          <w:bdr w:val="none" w:color="auto" w:sz="0" w:space="0"/>
          <w:shd w:val="clear" w:fill="F4F4E1"/>
        </w:rPr>
        <w:t>Table of Contents</w:t>
      </w:r>
    </w:p>
    <w:p>
      <w:pPr>
        <w:keepNext w:val="0"/>
        <w:keepLines w:val="0"/>
        <w:widowControl/>
        <w:numPr>
          <w:ilvl w:val="0"/>
          <w:numId w:val="1"/>
        </w:numPr>
        <w:suppressLineNumbers w:val="0"/>
        <w:spacing w:before="126" w:beforeAutospacing="0" w:after="0" w:afterAutospacing="1"/>
        <w:ind w:left="0" w:right="0" w:firstLine="0"/>
      </w:pPr>
      <w:r>
        <w:rPr>
          <w:rFonts w:ascii="Verdana" w:hAnsi="Verdana" w:cs="Verdana"/>
          <w:i w:val="0"/>
          <w:iCs w:val="0"/>
          <w:caps w:val="0"/>
          <w:color w:val="003399"/>
          <w:spacing w:val="0"/>
          <w:sz w:val="24"/>
          <w:szCs w:val="24"/>
          <w:u w:val="none"/>
        </w:rPr>
        <w:fldChar w:fldCharType="begin"/>
      </w:r>
      <w:r>
        <w:rPr>
          <w:rFonts w:ascii="Verdana" w:hAnsi="Verdana" w:cs="Verdana"/>
          <w:i w:val="0"/>
          <w:iCs w:val="0"/>
          <w:caps w:val="0"/>
          <w:color w:val="003399"/>
          <w:spacing w:val="0"/>
          <w:sz w:val="24"/>
          <w:szCs w:val="24"/>
          <w:u w:val="none"/>
        </w:rPr>
        <w:instrText xml:space="preserve"> HYPERLINK "https://wwwn.cdc.gov/Nchs/Data/Nhanes/Public/2017/DataFiles/PFAS_J.htm" \l "Component_Description" </w:instrText>
      </w:r>
      <w:r>
        <w:rPr>
          <w:rFonts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Component Description</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0"/>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"Eligible_Sample"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Eligible Sample</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0"/>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"Description_of_Laboratory_Methodology"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Description of Laboratory Methodology</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0"/>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"Laboratory_Method_Files"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Laboratory Method Files</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0"/>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"Laboratory_Quality_Assurance_and_Monitoring"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Laboratory Quality Assurance and Monitoring</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0"/>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"Data_Processing_and_Editing"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Data Processing and Editing</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0"/>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"Analytic_Notes"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Analytic Notes</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0"/>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"References"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References</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0"/>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"Codebook"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Codebook</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"SEQN"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SEQN - Respondent sequence number</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"WTSB2YR"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WTSB2YR - Subsample B weights</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"LBXPFDE"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LBXPFDE - Perfluorodecanoic acid (ng/mL)</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"LBDPFDEL"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LBDPFDEL - Perfluorodecanoic acid Comment Code</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"LBXPFHS"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LBXPFHS - Perfluorohexane sulfonic acid (ng/mL)</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"LBDPFHSL"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LBDPFHSL - Perfluorohexane sulfonic acid Comt Code</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"LBXMPAH"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LBXMPAH - 2-(N-methyl-PFOSA)acetic acid (ng/mL)</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"LBDMPAHL"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LBDMPAHL - 2-(N-methyl-PFOSA) acetic acid Comt Code</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"LBXPFNA"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LBXPFNA - Perfluorononanoic acid (ng/mL)</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"LBDPFNAL"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LBDPFNAL - Perfluorononanoic acid Comment Code</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"LBXPFUA"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LBXPFUA - Perfluoroundecanoic acid (ng/mL)</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"LBDPFUAL"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LBDPFUAL - Perfluoroundecanoic acid Comment Code</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"LBXNFOA"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LBXNFOA - n-perfluorooctanoic acid (ng/mL)</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"LBDNFOAL"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LBDNFOAL - n-perfluorooctanoic acid Comment Code</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"LBXBFOA"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LBXBFOA - Br. perfluorooctanoic acid iso (ng/mL)</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"LBDBFOAL"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LBDBFOAL - Br. perfluorooctanoic acid iso Comt Code</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"LBXNFOS"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LBXNFOS - n-perfluorooctane sulfonic acid (ng/mL)</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"LBDNFOSL"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LBDNFOSL - n-perfluorooctane sulfonic Comt Code</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"LBXMFOS"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LBXMFOS - Sm-PFOS (ng/mL)</w:t>
      </w:r>
      <w:r>
        <w:rPr>
          <w:rFonts w:hint="default" w:ascii="Verdana" w:hAnsi="Verdana" w:cs="Verdana"/>
          <w:i w:val="0"/>
          <w:iCs w:val="0"/>
          <w:caps w:val="0"/>
          <w:color w:val="003399"/>
          <w:spacing w:val="0"/>
          <w:sz w:val="24"/>
          <w:szCs w:val="24"/>
          <w:u w:val="none"/>
        </w:rPr>
        <w:fldChar w:fldCharType="end"/>
      </w:r>
    </w:p>
    <w:p>
      <w:pPr>
        <w:keepNext w:val="0"/>
        <w:keepLines w:val="0"/>
        <w:widowControl/>
        <w:numPr>
          <w:ilvl w:val="1"/>
          <w:numId w:val="1"/>
        </w:numPr>
        <w:suppressLineNumbers w:val="0"/>
        <w:spacing w:before="126" w:beforeAutospacing="0" w:after="0" w:afterAutospacing="1"/>
        <w:ind w:left="0" w:right="0" w:firstLine="0"/>
      </w:pPr>
      <w:r>
        <w:rPr>
          <w:rFonts w:hint="default" w:ascii="Verdana" w:hAnsi="Verdana" w:cs="Verdana"/>
          <w:i w:val="0"/>
          <w:iCs w:val="0"/>
          <w:caps w:val="0"/>
          <w:color w:val="003399"/>
          <w:spacing w:val="0"/>
          <w:sz w:val="24"/>
          <w:szCs w:val="24"/>
          <w:u w:val="none"/>
        </w:rPr>
        <w:fldChar w:fldCharType="begin"/>
      </w:r>
      <w:r>
        <w:rPr>
          <w:rFonts w:hint="default" w:ascii="Verdana" w:hAnsi="Verdana" w:cs="Verdana"/>
          <w:i w:val="0"/>
          <w:iCs w:val="0"/>
          <w:caps w:val="0"/>
          <w:color w:val="003399"/>
          <w:spacing w:val="0"/>
          <w:sz w:val="24"/>
          <w:szCs w:val="24"/>
          <w:u w:val="none"/>
        </w:rPr>
        <w:instrText xml:space="preserve"> HYPERLINK "https://wwwn.cdc.gov/Nchs/Data/Nhanes/Public/2017/DataFiles/PFAS_J.htm" \l "LBDMFOSL" </w:instrText>
      </w:r>
      <w:r>
        <w:rPr>
          <w:rFonts w:hint="default" w:ascii="Verdana" w:hAnsi="Verdana" w:cs="Verdana"/>
          <w:i w:val="0"/>
          <w:iCs w:val="0"/>
          <w:caps w:val="0"/>
          <w:color w:val="003399"/>
          <w:spacing w:val="0"/>
          <w:sz w:val="24"/>
          <w:szCs w:val="24"/>
          <w:u w:val="none"/>
        </w:rPr>
        <w:fldChar w:fldCharType="separate"/>
      </w:r>
      <w:r>
        <w:rPr>
          <w:rStyle w:val="10"/>
          <w:rFonts w:hint="default" w:ascii="Verdana" w:hAnsi="Verdana" w:cs="Verdana"/>
          <w:i w:val="0"/>
          <w:iCs w:val="0"/>
          <w:caps w:val="0"/>
          <w:color w:val="003399"/>
          <w:spacing w:val="0"/>
          <w:sz w:val="24"/>
          <w:szCs w:val="24"/>
          <w:u w:val="none"/>
        </w:rPr>
        <w:t>LBDMFOSL - Sm-PFOS Comment Code</w:t>
      </w:r>
      <w:r>
        <w:rPr>
          <w:rFonts w:hint="default" w:ascii="Verdana" w:hAnsi="Verdana" w:cs="Verdana"/>
          <w:i w:val="0"/>
          <w:iCs w:val="0"/>
          <w:caps w:val="0"/>
          <w:color w:val="003399"/>
          <w:spacing w:val="0"/>
          <w:sz w:val="24"/>
          <w:szCs w:val="24"/>
          <w:u w:val="none"/>
        </w:rPr>
        <w:fldChar w:fldCharType="end"/>
      </w:r>
    </w:p>
    <w:p>
      <w:pPr>
        <w:pStyle w:val="2"/>
        <w:keepNext w:val="0"/>
        <w:keepLines w:val="0"/>
        <w:widowControl/>
        <w:suppressLineNumbers w:val="0"/>
        <w:spacing w:before="0" w:beforeAutospacing="0" w:after="442" w:afterAutospacing="0"/>
        <w:rPr>
          <w:rFonts w:hint="default" w:ascii="Trebuchet MS" w:hAnsi="Trebuchet MS" w:cs="Trebuchet MS"/>
          <w:b w:val="0"/>
          <w:bCs w:val="0"/>
          <w:color w:val="0C5205"/>
          <w:sz w:val="42"/>
          <w:szCs w:val="42"/>
        </w:rPr>
      </w:pPr>
      <w:r>
        <w:rPr>
          <w:rFonts w:hint="default" w:ascii="Trebuchet MS" w:hAnsi="Trebuchet MS" w:cs="Trebuchet MS"/>
          <w:b w:val="0"/>
          <w:bCs w:val="0"/>
          <w:i w:val="0"/>
          <w:iCs w:val="0"/>
          <w:caps w:val="0"/>
          <w:color w:val="0C5205"/>
          <w:spacing w:val="0"/>
          <w:sz w:val="42"/>
          <w:szCs w:val="42"/>
        </w:rPr>
        <w:t>National Health and Nutrition Examination Survey</w:t>
      </w:r>
    </w:p>
    <w:p>
      <w:pPr>
        <w:pStyle w:val="3"/>
        <w:keepNext w:val="0"/>
        <w:keepLines w:val="0"/>
        <w:widowControl/>
        <w:suppressLineNumbers w:val="0"/>
        <w:spacing w:after="240" w:afterAutospacing="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2017-2018 Data Documentation, Codebook, and Frequencies</w:t>
      </w:r>
    </w:p>
    <w:p>
      <w:pPr>
        <w:pStyle w:val="4"/>
        <w:keepNext w:val="0"/>
        <w:keepLines w:val="0"/>
        <w:widowControl/>
        <w:suppressLineNumbers w:val="0"/>
        <w:spacing w:after="240" w:afterAutospacing="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rPr>
        <w:t>Perfluoroalkyl and Polyfluoroalkyl Substances (PFAS_J)</w:t>
      </w:r>
    </w:p>
    <w:p>
      <w:pPr>
        <w:pStyle w:val="5"/>
        <w:keepNext w:val="0"/>
        <w:keepLines w:val="0"/>
        <w:widowControl/>
        <w:suppressLineNumbers w:val="0"/>
        <w:spacing w:after="240" w:afterAutospacing="0"/>
        <w:rPr>
          <w:rFonts w:hint="default" w:ascii="Trebuchet MS" w:hAnsi="Trebuchet MS" w:cs="Trebuchet MS"/>
          <w:b/>
          <w:bCs/>
          <w:color w:val="000000"/>
          <w:sz w:val="27"/>
          <w:szCs w:val="27"/>
        </w:rPr>
      </w:pPr>
      <w:r>
        <w:rPr>
          <w:rFonts w:hint="default" w:ascii="Trebuchet MS" w:hAnsi="Trebuchet MS" w:cs="Trebuchet MS"/>
          <w:b/>
          <w:bCs/>
          <w:i w:val="0"/>
          <w:iCs w:val="0"/>
          <w:caps w:val="0"/>
          <w:color w:val="000000"/>
          <w:spacing w:val="0"/>
          <w:sz w:val="27"/>
          <w:szCs w:val="27"/>
        </w:rPr>
        <w:t>Data File: PFAS_J.xpt</w:t>
      </w:r>
    </w:p>
    <w:p>
      <w:pPr>
        <w:pStyle w:val="6"/>
        <w:keepNext w:val="0"/>
        <w:keepLines w:val="0"/>
        <w:widowControl/>
        <w:suppressLineNumbers w:val="0"/>
        <w:spacing w:after="240" w:afterAutospacing="0"/>
        <w:rPr>
          <w:rFonts w:hint="default" w:ascii="Verdana" w:hAnsi="Verdana" w:cs="Verdana"/>
          <w:b/>
          <w:bCs/>
          <w:color w:val="000000"/>
          <w:sz w:val="21"/>
          <w:szCs w:val="21"/>
        </w:rPr>
      </w:pPr>
      <w:r>
        <w:rPr>
          <w:rFonts w:hint="default" w:ascii="Verdana" w:hAnsi="Verdana" w:cs="Verdana"/>
          <w:b/>
          <w:bCs/>
          <w:i w:val="0"/>
          <w:iCs w:val="0"/>
          <w:caps w:val="0"/>
          <w:color w:val="000000"/>
          <w:spacing w:val="0"/>
          <w:sz w:val="21"/>
          <w:szCs w:val="21"/>
        </w:rPr>
        <w:t>First Published: November 2020</w:t>
      </w:r>
    </w:p>
    <w:p>
      <w:pPr>
        <w:pStyle w:val="6"/>
        <w:keepNext w:val="0"/>
        <w:keepLines w:val="0"/>
        <w:widowControl/>
        <w:suppressLineNumbers w:val="0"/>
        <w:spacing w:after="240" w:afterAutospacing="0"/>
        <w:rPr>
          <w:rFonts w:hint="default" w:ascii="Verdana" w:hAnsi="Verdana" w:cs="Verdana"/>
          <w:b/>
          <w:bCs/>
          <w:color w:val="000000"/>
          <w:sz w:val="21"/>
          <w:szCs w:val="21"/>
        </w:rPr>
      </w:pPr>
      <w:r>
        <w:rPr>
          <w:rFonts w:hint="default" w:ascii="Verdana" w:hAnsi="Verdana" w:cs="Verdana"/>
          <w:b/>
          <w:bCs/>
          <w:i w:val="0"/>
          <w:iCs w:val="0"/>
          <w:caps w:val="0"/>
          <w:color w:val="000000"/>
          <w:spacing w:val="0"/>
          <w:sz w:val="21"/>
          <w:szCs w:val="21"/>
        </w:rPr>
        <w:t>Last Revised: NA</w:t>
      </w:r>
    </w:p>
    <w:p>
      <w:pPr>
        <w:pStyle w:val="3"/>
        <w:keepNext w:val="0"/>
        <w:keepLines w:val="0"/>
        <w:widowControl/>
        <w:suppressLineNumbers w:val="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Component Description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Perfluoroalkyl and polyfluoroalkyl substances (PFAS) are used in multiple commercial applications including surfactants, lubricants, paints, polishes, food packaging and fire-retarding foams. Certain PFAS are used in the manufacture of polymers used in many industrial and consumer products, including soil, stain, grease, and water resistant coatings on textiles and carpet; uses in the automotive, mechanical, aerospace, chemical, electrical, medical, and building/construction industries; personal care products; and non-stick coatings on cookware. Some PFASs are ubiquitous contaminants found in humans and animals worldwide.</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Synthesis of PFAS employed electrochemical fluorination (ECF) or fluorotelomerization. ECF, used from the 1950s until the early 2000s, yielded branched and linear isomers. By contrast, fluorotelomerization produces almost exclusively linear compounds (Vyas, et al. 2007). The structural isomer patterns of perfluorooctanoate (PFOA) and perfluorooctane sulfonate (PFOS) in humans may be useful for understanding routes and sources of exposure (Benskin, et al. 2010). Therefore, concentrations of linear PFOA (n-PFOA), sum of branched isomers of PFOA (Sb-PFOA, branched PFOA isomers), linear PFOS (n-PFOS), and sum of perfluoromethylheptane sulfonate isomers (Sm-PFOS, monomethyl branched PFOS isomers) were measured in serum.</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The calculated sum of isomers in the PFAS (formerly PFC) dataset for the 2017-2018 cycle is comparable to the total levels reported in previous cycles of NHANES.</w:t>
      </w:r>
    </w:p>
    <w:p>
      <w:pPr>
        <w:pStyle w:val="3"/>
        <w:keepNext w:val="0"/>
        <w:keepLines w:val="0"/>
        <w:widowControl/>
        <w:suppressLineNumbers w:val="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Eligible Sample</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Examined participants aged 12 years and older from a one-third sample were eligible.</w:t>
      </w:r>
    </w:p>
    <w:p>
      <w:pPr>
        <w:pStyle w:val="3"/>
        <w:keepNext w:val="0"/>
        <w:keepLines w:val="0"/>
        <w:widowControl/>
        <w:suppressLineNumbers w:val="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Description of Laboratory Methodology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Online solid phase extraction coupled to high performance liquid chromatography-turboionspray ionization-tandem mass spectrometry (online SPE-HPLC-TIS-MS/MS) is used for the quantitative detection of PFAS: 2-(N-methyl-perfluorooctane sulfonamido) acetate (Me-PFOSA-AcOH),  perfluorohexane sulfonate (PFHxS), n-perfluorooctane sulfonate (n-PFOS), sum of perfluoromethylheptane sulfonate isomers (Sm-PFOS, monomethyl branched isomers of PFOS), n-perfluorooctanoate (n-PFOA), sum of branched perfluorooctanoate isomers (Sb-PFOA, branched PFOA isomers), perfluorononanoate (PFNA), perfluorodecanoate (PFDeA), perfluoroundecanoate (PFUA), and perfluorododecanoate (PFDoA)21. Briefly, after dilution with formic acid, one aliquot of 50 μL of serum is injected into a commercial column switching system allowing for concentration of the analytes on solid-phase extraction column. Separation of the analytes from each other and from other serum components is achieved with high-performance liquid chromatography. Detection and quantification are done using negative-ion TurboIonSpray ionization, a variant of electrospray ionization, tandem mass spectrometry. This method allows for rapid detection of these PFAS in human serum with limits of detection in the low parts per billion (ppb or ng/mL) range.</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Refer to the Laboratory Method Files section for a detailed description of the laboratory methods used.</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There were no changes to the lab method, lab equipment, or lab site for this component in the NHANES 2017-2018 cycle.</w:t>
      </w:r>
    </w:p>
    <w:p>
      <w:pPr>
        <w:pStyle w:val="3"/>
        <w:keepNext w:val="0"/>
        <w:keepLines w:val="0"/>
        <w:widowControl/>
        <w:suppressLineNumbers w:val="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Laboratory Method Files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3399"/>
          <w:spacing w:val="0"/>
          <w:sz w:val="21"/>
          <w:szCs w:val="21"/>
          <w:u w:val="none"/>
          <w:bdr w:val="none" w:color="auto" w:sz="0" w:space="0"/>
        </w:rPr>
        <w:fldChar w:fldCharType="begin"/>
      </w:r>
      <w:r>
        <w:rPr>
          <w:rFonts w:hint="default" w:ascii="Verdana" w:hAnsi="Verdana" w:cs="Verdana"/>
          <w:i w:val="0"/>
          <w:iCs w:val="0"/>
          <w:caps w:val="0"/>
          <w:color w:val="003399"/>
          <w:spacing w:val="0"/>
          <w:sz w:val="21"/>
          <w:szCs w:val="21"/>
          <w:u w:val="none"/>
          <w:bdr w:val="none" w:color="auto" w:sz="0" w:space="0"/>
        </w:rPr>
        <w:instrText xml:space="preserve"> HYPERLINK "https://wwwn.cdc.gov/nchs/data/nhanes/public/2017/labmethods/PFAS-J-MET-508.pdf" \t "/Users/wangyuxuan/Documents\\x/_blank" </w:instrText>
      </w:r>
      <w:r>
        <w:rPr>
          <w:rFonts w:hint="default" w:ascii="Verdana" w:hAnsi="Verdana" w:cs="Verdana"/>
          <w:i w:val="0"/>
          <w:iCs w:val="0"/>
          <w:caps w:val="0"/>
          <w:color w:val="003399"/>
          <w:spacing w:val="0"/>
          <w:sz w:val="21"/>
          <w:szCs w:val="21"/>
          <w:u w:val="none"/>
          <w:bdr w:val="none" w:color="auto" w:sz="0" w:space="0"/>
        </w:rPr>
        <w:fldChar w:fldCharType="separate"/>
      </w:r>
      <w:r>
        <w:rPr>
          <w:rStyle w:val="10"/>
          <w:rFonts w:hint="default" w:ascii="Verdana" w:hAnsi="Verdana" w:cs="Verdana"/>
          <w:i w:val="0"/>
          <w:iCs w:val="0"/>
          <w:caps w:val="0"/>
          <w:color w:val="003399"/>
          <w:spacing w:val="0"/>
          <w:sz w:val="21"/>
          <w:szCs w:val="21"/>
          <w:u w:val="none"/>
          <w:bdr w:val="none" w:color="auto" w:sz="0" w:space="0"/>
        </w:rPr>
        <w:t>Perfluoroalkyl and Polyfluoroalkyl Substances (PFAS) Laboratory Procedure Manual</w:t>
      </w:r>
      <w:r>
        <w:rPr>
          <w:rFonts w:hint="default" w:ascii="Verdana" w:hAnsi="Verdana" w:cs="Verdana"/>
          <w:i w:val="0"/>
          <w:iCs w:val="0"/>
          <w:caps w:val="0"/>
          <w:color w:val="003399"/>
          <w:spacing w:val="0"/>
          <w:sz w:val="21"/>
          <w:szCs w:val="21"/>
          <w:u w:val="none"/>
          <w:bdr w:val="none" w:color="auto" w:sz="0" w:space="0"/>
        </w:rPr>
        <w:fldChar w:fldCharType="end"/>
      </w:r>
      <w:r>
        <w:rPr>
          <w:rFonts w:hint="default" w:ascii="Verdana" w:hAnsi="Verdana" w:cs="Verdana"/>
          <w:i w:val="0"/>
          <w:iCs w:val="0"/>
          <w:caps w:val="0"/>
          <w:color w:val="000000"/>
          <w:spacing w:val="0"/>
          <w:sz w:val="21"/>
          <w:szCs w:val="21"/>
          <w:bdr w:val="none" w:color="auto" w:sz="0" w:space="0"/>
        </w:rPr>
        <w:t> (January 2021)</w:t>
      </w:r>
    </w:p>
    <w:p>
      <w:pPr>
        <w:pStyle w:val="3"/>
        <w:keepNext w:val="0"/>
        <w:keepLines w:val="0"/>
        <w:widowControl/>
        <w:suppressLineNumbers w:val="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Laboratory Quality Assurance and Monitoring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Serum specimens were processed, stored, and shipped to the Division of Laboratory Sciences, National Center for Environmental Health, Centers for Disease Control and Prevention, Atlanta, GA for analysis.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Detailed instructions on specimen collection and processing are discussed in the NHANES </w:t>
      </w:r>
      <w:r>
        <w:rPr>
          <w:rFonts w:hint="default" w:ascii="Verdana" w:hAnsi="Verdana" w:cs="Verdana"/>
          <w:i w:val="0"/>
          <w:iCs w:val="0"/>
          <w:caps w:val="0"/>
          <w:color w:val="003399"/>
          <w:spacing w:val="0"/>
          <w:sz w:val="21"/>
          <w:szCs w:val="21"/>
          <w:u w:val="none"/>
          <w:bdr w:val="none" w:color="auto" w:sz="0" w:space="0"/>
        </w:rPr>
        <w:fldChar w:fldCharType="begin"/>
      </w:r>
      <w:r>
        <w:rPr>
          <w:rFonts w:hint="default" w:ascii="Verdana" w:hAnsi="Verdana" w:cs="Verdana"/>
          <w:i w:val="0"/>
          <w:iCs w:val="0"/>
          <w:caps w:val="0"/>
          <w:color w:val="003399"/>
          <w:spacing w:val="0"/>
          <w:sz w:val="21"/>
          <w:szCs w:val="21"/>
          <w:u w:val="none"/>
          <w:bdr w:val="none" w:color="auto" w:sz="0" w:space="0"/>
        </w:rPr>
        <w:instrText xml:space="preserve"> HYPERLINK "https://wwwn.cdc.gov/nchs/data/nhanes/public/2017/manuals/2017_MEC_Laboratory_Procedures_Manual.pdf" \t "/Users/wangyuxuan/Documents\\x/_blank" </w:instrText>
      </w:r>
      <w:r>
        <w:rPr>
          <w:rFonts w:hint="default" w:ascii="Verdana" w:hAnsi="Verdana" w:cs="Verdana"/>
          <w:i w:val="0"/>
          <w:iCs w:val="0"/>
          <w:caps w:val="0"/>
          <w:color w:val="003399"/>
          <w:spacing w:val="0"/>
          <w:sz w:val="21"/>
          <w:szCs w:val="21"/>
          <w:u w:val="none"/>
          <w:bdr w:val="none" w:color="auto" w:sz="0" w:space="0"/>
        </w:rPr>
        <w:fldChar w:fldCharType="separate"/>
      </w:r>
      <w:r>
        <w:rPr>
          <w:rStyle w:val="10"/>
          <w:rFonts w:hint="default" w:ascii="Verdana" w:hAnsi="Verdana" w:cs="Verdana"/>
          <w:i w:val="0"/>
          <w:iCs w:val="0"/>
          <w:caps w:val="0"/>
          <w:color w:val="003399"/>
          <w:spacing w:val="0"/>
          <w:sz w:val="21"/>
          <w:szCs w:val="21"/>
          <w:u w:val="none"/>
          <w:bdr w:val="none" w:color="auto" w:sz="0" w:space="0"/>
        </w:rPr>
        <w:t>Laboratory Procedures Manual (LPM)</w:t>
      </w:r>
      <w:r>
        <w:rPr>
          <w:rFonts w:hint="default" w:ascii="Verdana" w:hAnsi="Verdana" w:cs="Verdana"/>
          <w:i w:val="0"/>
          <w:iCs w:val="0"/>
          <w:caps w:val="0"/>
          <w:color w:val="003399"/>
          <w:spacing w:val="0"/>
          <w:sz w:val="21"/>
          <w:szCs w:val="21"/>
          <w:u w:val="none"/>
          <w:bdr w:val="none" w:color="auto" w:sz="0" w:space="0"/>
        </w:rPr>
        <w:fldChar w:fldCharType="end"/>
      </w:r>
      <w:r>
        <w:rPr>
          <w:rFonts w:hint="default" w:ascii="Verdana" w:hAnsi="Verdana" w:cs="Verdana"/>
          <w:i w:val="0"/>
          <w:iCs w:val="0"/>
          <w:caps w:val="0"/>
          <w:color w:val="000000"/>
          <w:spacing w:val="0"/>
          <w:sz w:val="21"/>
          <w:szCs w:val="21"/>
          <w:bdr w:val="none" w:color="auto" w:sz="0" w:space="0"/>
        </w:rPr>
        <w:t>. Vials were stored under appropriate frozen (-30°C) conditions until they are shipped to the National Center for Environmental Health for testing.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The NHANES quality assurance and quality control (QA/QC) protocols meet the 1988 Clinical Laboratory Improvement Act mandates. Detailed QA/QC instructions are discussed in the </w:t>
      </w:r>
      <w:r>
        <w:rPr>
          <w:rFonts w:hint="default" w:ascii="Verdana" w:hAnsi="Verdana" w:cs="Verdana"/>
          <w:i w:val="0"/>
          <w:iCs w:val="0"/>
          <w:caps w:val="0"/>
          <w:color w:val="003399"/>
          <w:spacing w:val="0"/>
          <w:sz w:val="21"/>
          <w:szCs w:val="21"/>
          <w:u w:val="none"/>
          <w:bdr w:val="none" w:color="auto" w:sz="0" w:space="0"/>
        </w:rPr>
        <w:fldChar w:fldCharType="begin"/>
      </w:r>
      <w:r>
        <w:rPr>
          <w:rFonts w:hint="default" w:ascii="Verdana" w:hAnsi="Verdana" w:cs="Verdana"/>
          <w:i w:val="0"/>
          <w:iCs w:val="0"/>
          <w:caps w:val="0"/>
          <w:color w:val="003399"/>
          <w:spacing w:val="0"/>
          <w:sz w:val="21"/>
          <w:szCs w:val="21"/>
          <w:u w:val="none"/>
          <w:bdr w:val="none" w:color="auto" w:sz="0" w:space="0"/>
        </w:rPr>
        <w:instrText xml:space="preserve"> HYPERLINK "https://wwwn.cdc.gov/nchs/data/nhanes/public/2017/manuals/2017_MEC_Laboratory_Procedures_Manual.pdf" \t "/Users/wangyuxuan/Documents\\x/_blank" </w:instrText>
      </w:r>
      <w:r>
        <w:rPr>
          <w:rFonts w:hint="default" w:ascii="Verdana" w:hAnsi="Verdana" w:cs="Verdana"/>
          <w:i w:val="0"/>
          <w:iCs w:val="0"/>
          <w:caps w:val="0"/>
          <w:color w:val="003399"/>
          <w:spacing w:val="0"/>
          <w:sz w:val="21"/>
          <w:szCs w:val="21"/>
          <w:u w:val="none"/>
          <w:bdr w:val="none" w:color="auto" w:sz="0" w:space="0"/>
        </w:rPr>
        <w:fldChar w:fldCharType="separate"/>
      </w:r>
      <w:r>
        <w:rPr>
          <w:rStyle w:val="10"/>
          <w:rFonts w:hint="default" w:ascii="Verdana" w:hAnsi="Verdana" w:cs="Verdana"/>
          <w:i w:val="0"/>
          <w:iCs w:val="0"/>
          <w:caps w:val="0"/>
          <w:color w:val="003399"/>
          <w:spacing w:val="0"/>
          <w:sz w:val="21"/>
          <w:szCs w:val="21"/>
          <w:u w:val="none"/>
          <w:bdr w:val="none" w:color="auto" w:sz="0" w:space="0"/>
        </w:rPr>
        <w:t>NHANES LPM</w:t>
      </w:r>
      <w:r>
        <w:rPr>
          <w:rFonts w:hint="default" w:ascii="Verdana" w:hAnsi="Verdana" w:cs="Verdana"/>
          <w:i w:val="0"/>
          <w:iCs w:val="0"/>
          <w:caps w:val="0"/>
          <w:color w:val="003399"/>
          <w:spacing w:val="0"/>
          <w:sz w:val="21"/>
          <w:szCs w:val="21"/>
          <w:u w:val="none"/>
          <w:bdr w:val="none" w:color="auto" w:sz="0" w:space="0"/>
        </w:rPr>
        <w:fldChar w:fldCharType="end"/>
      </w:r>
      <w:r>
        <w:rPr>
          <w:rFonts w:hint="default" w:ascii="Verdana" w:hAnsi="Verdana" w:cs="Verdana"/>
          <w:i w:val="0"/>
          <w:iCs w:val="0"/>
          <w:caps w:val="0"/>
          <w:color w:val="000000"/>
          <w:spacing w:val="0"/>
          <w:sz w:val="21"/>
          <w:szCs w:val="21"/>
          <w:bdr w:val="none" w:color="auto" w:sz="0" w:space="0"/>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b/>
          <w:bCs/>
          <w:i w:val="0"/>
          <w:iCs w:val="0"/>
          <w:caps w:val="0"/>
          <w:color w:val="000000"/>
          <w:spacing w:val="0"/>
          <w:sz w:val="21"/>
          <w:szCs w:val="21"/>
          <w:bdr w:val="none" w:color="auto" w:sz="0" w:space="0"/>
        </w:rPr>
        <w:t>Mobile Examination Centers (MECs)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Laboratory team performance is monitored using several techniques. NCHS and contract consultants use a structured competency assessment evaluation during visits to evaluate both the quality of the laboratory work and the QC procedures. Each laboratory staff member is observed for equipment operation, specimen collection and preparation; testing procedures and constructive feedback are given to each staff member. Formal retraining sessions are conducted annually to ensure that required skill levels were maintained.</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b/>
          <w:bCs/>
          <w:i w:val="0"/>
          <w:iCs w:val="0"/>
          <w:caps w:val="0"/>
          <w:color w:val="000000"/>
          <w:spacing w:val="0"/>
          <w:sz w:val="21"/>
          <w:szCs w:val="21"/>
          <w:bdr w:val="none" w:color="auto" w:sz="0" w:space="0"/>
        </w:rPr>
        <w:t>Analytical Laboratories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NHANES uses several methods to monitor the quality of the analyses performed by the contract laboratories. In the MEC, these methods include performing blind split samples collected during “dry run” sessions. In addition, contract laboratories randomly perform repeat testing on 2% of all specimens.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NCHS developed and distributed a QC protocol for all CDC and contract laboratories, which outlined the use of Westgard rules (Westgard, et al. 1981) when running NHANES specimens. Progress reports containing any problems encountered during shipping or receipt of specimens, summary statistics for each control pool, QC graphs, instrument calibration, reagents, and any special considerations are submitted to NCHS quarterly. The reports are reviewed for trends or shifts in the data. The laboratories are required to explain any identified areas of concern.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All QC procedures recommended by the manufacturers were followed. Reported results for all assays meet the Division of Laboratory Sciences’ QA/QC performance criteria for accuracy and precision, similar to the Westgard rules (Caudill, et al., 2008).</w:t>
      </w:r>
    </w:p>
    <w:p>
      <w:pPr>
        <w:pStyle w:val="3"/>
        <w:keepNext w:val="0"/>
        <w:keepLines w:val="0"/>
        <w:widowControl/>
        <w:suppressLineNumbers w:val="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Data Processing and Editing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The data were reviewed. Incomplete data or improbable values were sent to the performing laboratory for confirmation.</w:t>
      </w:r>
    </w:p>
    <w:p>
      <w:pPr>
        <w:pStyle w:val="3"/>
        <w:keepNext w:val="0"/>
        <w:keepLines w:val="0"/>
        <w:widowControl/>
        <w:suppressLineNumbers w:val="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Analytic Notes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Refer to the </w:t>
      </w:r>
      <w:r>
        <w:rPr>
          <w:rFonts w:hint="default" w:ascii="Verdana" w:hAnsi="Verdana" w:cs="Verdana"/>
          <w:i w:val="0"/>
          <w:iCs w:val="0"/>
          <w:caps w:val="0"/>
          <w:color w:val="003399"/>
          <w:spacing w:val="0"/>
          <w:sz w:val="21"/>
          <w:szCs w:val="21"/>
          <w:u w:val="none"/>
          <w:bdr w:val="none" w:color="auto" w:sz="0" w:space="0"/>
        </w:rPr>
        <w:fldChar w:fldCharType="begin"/>
      </w:r>
      <w:r>
        <w:rPr>
          <w:rFonts w:hint="default" w:ascii="Verdana" w:hAnsi="Verdana" w:cs="Verdana"/>
          <w:i w:val="0"/>
          <w:iCs w:val="0"/>
          <w:caps w:val="0"/>
          <w:color w:val="003399"/>
          <w:spacing w:val="0"/>
          <w:sz w:val="21"/>
          <w:szCs w:val="21"/>
          <w:u w:val="none"/>
          <w:bdr w:val="none" w:color="auto" w:sz="0" w:space="0"/>
        </w:rPr>
        <w:instrText xml:space="preserve"> HYPERLINK "https://wwwn.cdc.gov/nchs/nhanes/continuousnhanes/overviewlab.aspx?BeginYear=2017" \t "/Users/wangyuxuan/Documents\\x/_blank" </w:instrText>
      </w:r>
      <w:r>
        <w:rPr>
          <w:rFonts w:hint="default" w:ascii="Verdana" w:hAnsi="Verdana" w:cs="Verdana"/>
          <w:i w:val="0"/>
          <w:iCs w:val="0"/>
          <w:caps w:val="0"/>
          <w:color w:val="003399"/>
          <w:spacing w:val="0"/>
          <w:sz w:val="21"/>
          <w:szCs w:val="21"/>
          <w:u w:val="none"/>
          <w:bdr w:val="none" w:color="auto" w:sz="0" w:space="0"/>
        </w:rPr>
        <w:fldChar w:fldCharType="separate"/>
      </w:r>
      <w:r>
        <w:rPr>
          <w:rStyle w:val="10"/>
          <w:rFonts w:hint="default" w:ascii="Verdana" w:hAnsi="Verdana" w:cs="Verdana"/>
          <w:i w:val="0"/>
          <w:iCs w:val="0"/>
          <w:caps w:val="0"/>
          <w:color w:val="003399"/>
          <w:spacing w:val="0"/>
          <w:sz w:val="21"/>
          <w:szCs w:val="21"/>
          <w:u w:val="none"/>
          <w:bdr w:val="none" w:color="auto" w:sz="0" w:space="0"/>
        </w:rPr>
        <w:t>2017-2018 Laboratory Data Overview</w:t>
      </w:r>
      <w:r>
        <w:rPr>
          <w:rFonts w:hint="default" w:ascii="Verdana" w:hAnsi="Verdana" w:cs="Verdana"/>
          <w:i w:val="0"/>
          <w:iCs w:val="0"/>
          <w:caps w:val="0"/>
          <w:color w:val="003399"/>
          <w:spacing w:val="0"/>
          <w:sz w:val="21"/>
          <w:szCs w:val="21"/>
          <w:u w:val="none"/>
          <w:bdr w:val="none" w:color="auto" w:sz="0" w:space="0"/>
        </w:rPr>
        <w:fldChar w:fldCharType="end"/>
      </w:r>
      <w:r>
        <w:rPr>
          <w:rFonts w:hint="default" w:ascii="Verdana" w:hAnsi="Verdana" w:cs="Verdana"/>
          <w:i w:val="0"/>
          <w:iCs w:val="0"/>
          <w:caps w:val="0"/>
          <w:color w:val="000000"/>
          <w:spacing w:val="0"/>
          <w:sz w:val="21"/>
          <w:szCs w:val="21"/>
          <w:bdr w:val="none" w:color="auto" w:sz="0" w:space="0"/>
        </w:rPr>
        <w:t> for general information on NHANES laboratory data.</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There are over 800 laboratory tests performed on NHANES participants. However, not all participants provided biospecimens or enough volume for all the tests to be performed. The specimen availability can also vary by age or other population characteristics. For example, in 2017-2018, approximately 80% of children aged 1-17 years who were examined in the MEC provided a blood specimen through phlebotomy, while 95% of examined adults age 18 and older provided a blood specimen. Analysts should evaluate the extent of missing data in the dataset related to the outcome of interest as well as any predictor variables used in the analyses to determine whether additional re-weighting for item non-response is necessary.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Please refer to the </w:t>
      </w:r>
      <w:r>
        <w:rPr>
          <w:rFonts w:hint="default" w:ascii="Verdana" w:hAnsi="Verdana" w:cs="Verdana"/>
          <w:i w:val="0"/>
          <w:iCs w:val="0"/>
          <w:caps w:val="0"/>
          <w:color w:val="003399"/>
          <w:spacing w:val="0"/>
          <w:sz w:val="21"/>
          <w:szCs w:val="21"/>
          <w:u w:val="none"/>
          <w:bdr w:val="none" w:color="auto" w:sz="0" w:space="0"/>
        </w:rPr>
        <w:fldChar w:fldCharType="begin"/>
      </w:r>
      <w:r>
        <w:rPr>
          <w:rFonts w:hint="default" w:ascii="Verdana" w:hAnsi="Verdana" w:cs="Verdana"/>
          <w:i w:val="0"/>
          <w:iCs w:val="0"/>
          <w:caps w:val="0"/>
          <w:color w:val="003399"/>
          <w:spacing w:val="0"/>
          <w:sz w:val="21"/>
          <w:szCs w:val="21"/>
          <w:u w:val="none"/>
          <w:bdr w:val="none" w:color="auto" w:sz="0" w:space="0"/>
        </w:rPr>
        <w:instrText xml:space="preserve"> HYPERLINK "https://wwwn.cdc.gov/nchs/nhanes/analyticguidelines.aspx" \t "/Users/wangyuxuan/Documents\\x/_blank" </w:instrText>
      </w:r>
      <w:r>
        <w:rPr>
          <w:rFonts w:hint="default" w:ascii="Verdana" w:hAnsi="Verdana" w:cs="Verdana"/>
          <w:i w:val="0"/>
          <w:iCs w:val="0"/>
          <w:caps w:val="0"/>
          <w:color w:val="003399"/>
          <w:spacing w:val="0"/>
          <w:sz w:val="21"/>
          <w:szCs w:val="21"/>
          <w:u w:val="none"/>
          <w:bdr w:val="none" w:color="auto" w:sz="0" w:space="0"/>
        </w:rPr>
        <w:fldChar w:fldCharType="separate"/>
      </w:r>
      <w:r>
        <w:rPr>
          <w:rStyle w:val="10"/>
          <w:rFonts w:hint="default" w:ascii="Verdana" w:hAnsi="Verdana" w:cs="Verdana"/>
          <w:i w:val="0"/>
          <w:iCs w:val="0"/>
          <w:caps w:val="0"/>
          <w:color w:val="003399"/>
          <w:spacing w:val="0"/>
          <w:sz w:val="21"/>
          <w:szCs w:val="21"/>
          <w:u w:val="none"/>
          <w:bdr w:val="none" w:color="auto" w:sz="0" w:space="0"/>
        </w:rPr>
        <w:t>NHANES Analytic Guidelines</w:t>
      </w:r>
      <w:r>
        <w:rPr>
          <w:rFonts w:hint="default" w:ascii="Verdana" w:hAnsi="Verdana" w:cs="Verdana"/>
          <w:i w:val="0"/>
          <w:iCs w:val="0"/>
          <w:caps w:val="0"/>
          <w:color w:val="003399"/>
          <w:spacing w:val="0"/>
          <w:sz w:val="21"/>
          <w:szCs w:val="21"/>
          <w:u w:val="none"/>
          <w:bdr w:val="none" w:color="auto" w:sz="0" w:space="0"/>
        </w:rPr>
        <w:fldChar w:fldCharType="end"/>
      </w:r>
      <w:r>
        <w:rPr>
          <w:rFonts w:hint="default" w:ascii="Verdana" w:hAnsi="Verdana" w:cs="Verdana"/>
          <w:i w:val="0"/>
          <w:iCs w:val="0"/>
          <w:caps w:val="0"/>
          <w:color w:val="000000"/>
          <w:spacing w:val="0"/>
          <w:sz w:val="21"/>
          <w:szCs w:val="21"/>
          <w:bdr w:val="none" w:color="auto" w:sz="0" w:space="0"/>
        </w:rPr>
        <w:t> and the on-line </w:t>
      </w:r>
      <w:r>
        <w:rPr>
          <w:rFonts w:hint="default" w:ascii="Verdana" w:hAnsi="Verdana" w:cs="Verdana"/>
          <w:i w:val="0"/>
          <w:iCs w:val="0"/>
          <w:caps w:val="0"/>
          <w:color w:val="003399"/>
          <w:spacing w:val="0"/>
          <w:sz w:val="21"/>
          <w:szCs w:val="21"/>
          <w:u w:val="none"/>
          <w:bdr w:val="none" w:color="auto" w:sz="0" w:space="0"/>
        </w:rPr>
        <w:fldChar w:fldCharType="begin"/>
      </w:r>
      <w:r>
        <w:rPr>
          <w:rFonts w:hint="default" w:ascii="Verdana" w:hAnsi="Verdana" w:cs="Verdana"/>
          <w:i w:val="0"/>
          <w:iCs w:val="0"/>
          <w:caps w:val="0"/>
          <w:color w:val="003399"/>
          <w:spacing w:val="0"/>
          <w:sz w:val="21"/>
          <w:szCs w:val="21"/>
          <w:u w:val="none"/>
          <w:bdr w:val="none" w:color="auto" w:sz="0" w:space="0"/>
        </w:rPr>
        <w:instrText xml:space="preserve"> HYPERLINK "https://wwwn.cdc.gov/nchs/nhanes/tutorials/" \t "/Users/wangyuxuan/Documents\\x/_blank" </w:instrText>
      </w:r>
      <w:r>
        <w:rPr>
          <w:rFonts w:hint="default" w:ascii="Verdana" w:hAnsi="Verdana" w:cs="Verdana"/>
          <w:i w:val="0"/>
          <w:iCs w:val="0"/>
          <w:caps w:val="0"/>
          <w:color w:val="003399"/>
          <w:spacing w:val="0"/>
          <w:sz w:val="21"/>
          <w:szCs w:val="21"/>
          <w:u w:val="none"/>
          <w:bdr w:val="none" w:color="auto" w:sz="0" w:space="0"/>
        </w:rPr>
        <w:fldChar w:fldCharType="separate"/>
      </w:r>
      <w:r>
        <w:rPr>
          <w:rStyle w:val="10"/>
          <w:rFonts w:hint="default" w:ascii="Verdana" w:hAnsi="Verdana" w:cs="Verdana"/>
          <w:i w:val="0"/>
          <w:iCs w:val="0"/>
          <w:caps w:val="0"/>
          <w:color w:val="003399"/>
          <w:spacing w:val="0"/>
          <w:sz w:val="21"/>
          <w:szCs w:val="21"/>
          <w:u w:val="none"/>
          <w:bdr w:val="none" w:color="auto" w:sz="0" w:space="0"/>
        </w:rPr>
        <w:t>NHANES Tutorial</w:t>
      </w:r>
      <w:r>
        <w:rPr>
          <w:rFonts w:hint="default" w:ascii="Verdana" w:hAnsi="Verdana" w:cs="Verdana"/>
          <w:i w:val="0"/>
          <w:iCs w:val="0"/>
          <w:caps w:val="0"/>
          <w:color w:val="003399"/>
          <w:spacing w:val="0"/>
          <w:sz w:val="21"/>
          <w:szCs w:val="21"/>
          <w:u w:val="none"/>
          <w:bdr w:val="none" w:color="auto" w:sz="0" w:space="0"/>
        </w:rPr>
        <w:fldChar w:fldCharType="end"/>
      </w:r>
      <w:r>
        <w:rPr>
          <w:rFonts w:hint="default" w:ascii="Verdana" w:hAnsi="Verdana" w:cs="Verdana"/>
          <w:i w:val="0"/>
          <w:iCs w:val="0"/>
          <w:caps w:val="0"/>
          <w:color w:val="000000"/>
          <w:spacing w:val="0"/>
          <w:sz w:val="21"/>
          <w:szCs w:val="21"/>
          <w:bdr w:val="none" w:color="auto" w:sz="0" w:space="0"/>
        </w:rPr>
        <w:t> for details on the use of sample weights and analytic issues.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b/>
          <w:bCs/>
          <w:i w:val="0"/>
          <w:iCs w:val="0"/>
          <w:caps w:val="0"/>
          <w:color w:val="000000"/>
          <w:spacing w:val="0"/>
          <w:sz w:val="21"/>
          <w:szCs w:val="21"/>
          <w:bdr w:val="none" w:color="auto" w:sz="0" w:space="0"/>
        </w:rPr>
        <w:t>Subsample weights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Serum PFAS were measured in a one-third subsample of persons 12 years and over. Special sample weights are required to analyze these data properly. Specific sample weights for this subsample are included in this data file and should be used when analyzing these data.</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b/>
          <w:bCs/>
          <w:i w:val="0"/>
          <w:iCs w:val="0"/>
          <w:caps w:val="0"/>
          <w:color w:val="000000"/>
          <w:spacing w:val="0"/>
          <w:sz w:val="21"/>
          <w:szCs w:val="21"/>
          <w:bdr w:val="none" w:color="auto" w:sz="0" w:space="0"/>
        </w:rPr>
        <w:t>Demographic and Other Related Variables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Additional PFAS were measured as part of a surplus sera project among NHANES 2017-2018 survey participants 12 years and older. The data are to be released in a separate file, SSPFAS_J and made available on the NHANES website as well.</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The analysis of NHANES laboratory data must be conducted using the appropriate survey design and demographic variables. The NHANES </w:t>
      </w:r>
      <w:r>
        <w:rPr>
          <w:rFonts w:hint="default" w:ascii="Verdana" w:hAnsi="Verdana" w:cs="Verdana"/>
          <w:i w:val="0"/>
          <w:iCs w:val="0"/>
          <w:caps w:val="0"/>
          <w:color w:val="003399"/>
          <w:spacing w:val="0"/>
          <w:sz w:val="21"/>
          <w:szCs w:val="21"/>
          <w:u w:val="none"/>
          <w:bdr w:val="none" w:color="auto" w:sz="0" w:space="0"/>
        </w:rPr>
        <w:fldChar w:fldCharType="begin"/>
      </w:r>
      <w:r>
        <w:rPr>
          <w:rFonts w:hint="default" w:ascii="Verdana" w:hAnsi="Verdana" w:cs="Verdana"/>
          <w:i w:val="0"/>
          <w:iCs w:val="0"/>
          <w:caps w:val="0"/>
          <w:color w:val="003399"/>
          <w:spacing w:val="0"/>
          <w:sz w:val="21"/>
          <w:szCs w:val="21"/>
          <w:u w:val="none"/>
          <w:bdr w:val="none" w:color="auto" w:sz="0" w:space="0"/>
        </w:rPr>
        <w:instrText xml:space="preserve"> HYPERLINK "https://wwwn.cdc.gov/nchs/nhanes/search/datapage.aspx?Component=Demographics&amp;CycleBeginYear=2017" \t "/Users/wangyuxuan/Documents\\x/_blank" </w:instrText>
      </w:r>
      <w:r>
        <w:rPr>
          <w:rFonts w:hint="default" w:ascii="Verdana" w:hAnsi="Verdana" w:cs="Verdana"/>
          <w:i w:val="0"/>
          <w:iCs w:val="0"/>
          <w:caps w:val="0"/>
          <w:color w:val="003399"/>
          <w:spacing w:val="0"/>
          <w:sz w:val="21"/>
          <w:szCs w:val="21"/>
          <w:u w:val="none"/>
          <w:bdr w:val="none" w:color="auto" w:sz="0" w:space="0"/>
        </w:rPr>
        <w:fldChar w:fldCharType="separate"/>
      </w:r>
      <w:r>
        <w:rPr>
          <w:rStyle w:val="10"/>
          <w:rFonts w:hint="default" w:ascii="Verdana" w:hAnsi="Verdana" w:cs="Verdana"/>
          <w:i w:val="0"/>
          <w:iCs w:val="0"/>
          <w:caps w:val="0"/>
          <w:color w:val="003399"/>
          <w:spacing w:val="0"/>
          <w:sz w:val="21"/>
          <w:szCs w:val="21"/>
          <w:u w:val="none"/>
          <w:bdr w:val="none" w:color="auto" w:sz="0" w:space="0"/>
        </w:rPr>
        <w:t>2017-2018 Demographic Data File</w:t>
      </w:r>
      <w:r>
        <w:rPr>
          <w:rFonts w:hint="default" w:ascii="Verdana" w:hAnsi="Verdana" w:cs="Verdana"/>
          <w:i w:val="0"/>
          <w:iCs w:val="0"/>
          <w:caps w:val="0"/>
          <w:color w:val="003399"/>
          <w:spacing w:val="0"/>
          <w:sz w:val="21"/>
          <w:szCs w:val="21"/>
          <w:u w:val="none"/>
          <w:bdr w:val="none" w:color="auto" w:sz="0" w:space="0"/>
        </w:rPr>
        <w:fldChar w:fldCharType="end"/>
      </w:r>
      <w:r>
        <w:rPr>
          <w:rFonts w:hint="default" w:ascii="Verdana" w:hAnsi="Verdana" w:cs="Verdana"/>
          <w:i w:val="0"/>
          <w:iCs w:val="0"/>
          <w:caps w:val="0"/>
          <w:color w:val="000000"/>
          <w:spacing w:val="0"/>
          <w:sz w:val="21"/>
          <w:szCs w:val="21"/>
          <w:bdr w:val="none" w:color="auto" w:sz="0" w:space="0"/>
        </w:rPr>
        <w:t> contains demographic data, health indicators, and other related information collected during household interviews as well as the sample design variables. The recommended procedure for variance estimation requires use of stratum and PSU variables (SDMVSTRA and SDMVPSU, respectively) in the demographic data file.</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The </w:t>
      </w:r>
      <w:r>
        <w:rPr>
          <w:rFonts w:hint="default" w:ascii="Verdana" w:hAnsi="Verdana" w:cs="Verdana"/>
          <w:i w:val="0"/>
          <w:iCs w:val="0"/>
          <w:caps w:val="0"/>
          <w:color w:val="003399"/>
          <w:spacing w:val="0"/>
          <w:sz w:val="21"/>
          <w:szCs w:val="21"/>
          <w:u w:val="none"/>
          <w:bdr w:val="none" w:color="auto" w:sz="0" w:space="0"/>
        </w:rPr>
        <w:fldChar w:fldCharType="begin"/>
      </w:r>
      <w:r>
        <w:rPr>
          <w:rFonts w:hint="default" w:ascii="Verdana" w:hAnsi="Verdana" w:cs="Verdana"/>
          <w:i w:val="0"/>
          <w:iCs w:val="0"/>
          <w:caps w:val="0"/>
          <w:color w:val="003399"/>
          <w:spacing w:val="0"/>
          <w:sz w:val="21"/>
          <w:szCs w:val="21"/>
          <w:u w:val="none"/>
          <w:bdr w:val="none" w:color="auto" w:sz="0" w:space="0"/>
        </w:rPr>
        <w:instrText xml:space="preserve"> HYPERLINK "https://wwwn.cdc.gov/nchs/data/nhanes/public/2017/datafiles/fastqx_j.htm" \t "/Users/wangyuxuan/Documents\\x/_blank" </w:instrText>
      </w:r>
      <w:r>
        <w:rPr>
          <w:rFonts w:hint="default" w:ascii="Verdana" w:hAnsi="Verdana" w:cs="Verdana"/>
          <w:i w:val="0"/>
          <w:iCs w:val="0"/>
          <w:caps w:val="0"/>
          <w:color w:val="003399"/>
          <w:spacing w:val="0"/>
          <w:sz w:val="21"/>
          <w:szCs w:val="21"/>
          <w:u w:val="none"/>
          <w:bdr w:val="none" w:color="auto" w:sz="0" w:space="0"/>
        </w:rPr>
        <w:fldChar w:fldCharType="separate"/>
      </w:r>
      <w:r>
        <w:rPr>
          <w:rStyle w:val="10"/>
          <w:rFonts w:hint="default" w:ascii="Verdana" w:hAnsi="Verdana" w:cs="Verdana"/>
          <w:i w:val="0"/>
          <w:iCs w:val="0"/>
          <w:caps w:val="0"/>
          <w:color w:val="003399"/>
          <w:spacing w:val="0"/>
          <w:sz w:val="21"/>
          <w:szCs w:val="21"/>
          <w:u w:val="none"/>
          <w:bdr w:val="none" w:color="auto" w:sz="0" w:space="0"/>
        </w:rPr>
        <w:t>Fasting Questionnaire File</w:t>
      </w:r>
      <w:r>
        <w:rPr>
          <w:rFonts w:hint="default" w:ascii="Verdana" w:hAnsi="Verdana" w:cs="Verdana"/>
          <w:i w:val="0"/>
          <w:iCs w:val="0"/>
          <w:caps w:val="0"/>
          <w:color w:val="003399"/>
          <w:spacing w:val="0"/>
          <w:sz w:val="21"/>
          <w:szCs w:val="21"/>
          <w:u w:val="none"/>
          <w:bdr w:val="none" w:color="auto" w:sz="0" w:space="0"/>
        </w:rPr>
        <w:fldChar w:fldCharType="end"/>
      </w:r>
      <w:r>
        <w:rPr>
          <w:rFonts w:hint="default" w:ascii="Verdana" w:hAnsi="Verdana" w:cs="Verdana"/>
          <w:i w:val="0"/>
          <w:iCs w:val="0"/>
          <w:caps w:val="0"/>
          <w:color w:val="000000"/>
          <w:spacing w:val="0"/>
          <w:sz w:val="21"/>
          <w:szCs w:val="21"/>
          <w:bdr w:val="none" w:color="auto" w:sz="0" w:space="0"/>
        </w:rPr>
        <w:t> includes auxiliary information, such as fasting status, length of fast and the time of venipuncture.</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This laboratory data file can be linked to the other NHANES data files using the unique survey participant identifier (i.e., SEQN).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b/>
          <w:bCs/>
          <w:i w:val="0"/>
          <w:iCs w:val="0"/>
          <w:caps w:val="0"/>
          <w:color w:val="000000"/>
          <w:spacing w:val="0"/>
          <w:sz w:val="21"/>
          <w:szCs w:val="21"/>
          <w:bdr w:val="none" w:color="auto" w:sz="0" w:space="0"/>
        </w:rPr>
        <w:t>Detection Limits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The detection limits were constant for all of the analytes in the data set. Two variables are provided for each of these analytes. The variable name ending in “L” (ex., LBDPFHSL) indicates whether the result was below the limit of detection: the value “0” means that the result was at or above the limit of detection, “1” indicates that the result was below the limit of detection. For analytes with analytic results below the lower limit of detection (ex., LBDPFHSL=1), an imputed fill value was placed in the analyte results field. This value is the lower limit of detection divided by square root of 2 (LLOD/sqrt(2)). The other variable prefixed LBX (ex., LBXPFHS) provides the analytic result for that analyte.</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line="279" w:lineRule="atLeast"/>
        <w:jc w:val="left"/>
        <w:rPr>
          <w:rFonts w:hint="default" w:ascii="Verdana" w:hAnsi="Verdana" w:cs="Verdana"/>
          <w:sz w:val="21"/>
          <w:szCs w:val="21"/>
        </w:rPr>
      </w:pPr>
      <w:r>
        <w:rPr>
          <w:rFonts w:hint="default" w:ascii="Verdana" w:hAnsi="Verdana" w:cs="Verdana"/>
          <w:i w:val="0"/>
          <w:iCs w:val="0"/>
          <w:caps w:val="0"/>
          <w:color w:val="000000"/>
          <w:spacing w:val="0"/>
          <w:sz w:val="21"/>
          <w:szCs w:val="21"/>
          <w:bdr w:val="none" w:color="auto" w:sz="0" w:space="0"/>
        </w:rPr>
        <w:t>The lower limit of detection (LLOD, in ng/mL) for each PFAS:</w:t>
      </w:r>
    </w:p>
    <w:tbl>
      <w:tblPr>
        <w:tblW w:w="8900"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40" w:type="dxa"/>
          <w:left w:w="40" w:type="dxa"/>
          <w:bottom w:w="40" w:type="dxa"/>
          <w:right w:w="40" w:type="dxa"/>
        </w:tblCellMar>
      </w:tblPr>
      <w:tblGrid>
        <w:gridCol w:w="1790"/>
        <w:gridCol w:w="5490"/>
        <w:gridCol w:w="1620"/>
      </w:tblGrid>
      <w:tr>
        <w:trPr>
          <w:trHeight w:val="423" w:hRule="atLeast"/>
          <w:tblHeader/>
          <w:jc w:val="center"/>
        </w:trPr>
        <w:tc>
          <w:tcPr>
            <w:tcW w:w="1790" w:type="dxa"/>
            <w:tcBorders>
              <w:top w:val="single" w:color="000000" w:sz="8" w:space="0"/>
              <w:left w:val="single" w:color="000000" w:sz="8" w:space="0"/>
              <w:bottom w:val="single" w:color="000000" w:sz="8" w:space="0"/>
              <w:right w:val="single" w:color="000000" w:sz="8" w:space="0"/>
            </w:tcBorders>
            <w:shd w:val="clear" w:color="auto" w:fill="BDD6EE"/>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b/>
                <w:bCs/>
                <w:sz w:val="21"/>
                <w:szCs w:val="21"/>
                <w:bdr w:val="none" w:color="auto" w:sz="0" w:space="0"/>
              </w:rPr>
              <w:t>Variable Name</w:t>
            </w:r>
          </w:p>
        </w:tc>
        <w:tc>
          <w:tcPr>
            <w:tcW w:w="5490" w:type="dxa"/>
            <w:tcBorders>
              <w:top w:val="single" w:color="000000" w:sz="8" w:space="0"/>
              <w:left w:val="nil"/>
              <w:bottom w:val="single" w:color="000000" w:sz="8" w:space="0"/>
              <w:right w:val="single" w:color="000000" w:sz="8" w:space="0"/>
            </w:tcBorders>
            <w:shd w:val="clear" w:color="auto" w:fill="BDD6EE"/>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b/>
                <w:bCs/>
                <w:sz w:val="21"/>
                <w:szCs w:val="21"/>
                <w:bdr w:val="none" w:color="auto" w:sz="0" w:space="0"/>
              </w:rPr>
              <w:t>Analyte Description</w:t>
            </w:r>
          </w:p>
        </w:tc>
        <w:tc>
          <w:tcPr>
            <w:tcW w:w="1620" w:type="dxa"/>
            <w:tcBorders>
              <w:top w:val="single" w:color="000000" w:sz="8" w:space="0"/>
              <w:left w:val="nil"/>
              <w:bottom w:val="single" w:color="000000" w:sz="8" w:space="0"/>
              <w:right w:val="single" w:color="000000" w:sz="8" w:space="0"/>
            </w:tcBorders>
            <w:shd w:val="clear" w:color="auto" w:fill="BDD6EE"/>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b/>
                <w:bCs/>
                <w:sz w:val="21"/>
                <w:szCs w:val="21"/>
                <w:bdr w:val="none" w:color="auto" w:sz="0" w:space="0"/>
              </w:rPr>
              <w:t>LLOD</w:t>
            </w:r>
          </w:p>
        </w:tc>
      </w:tr>
      <w:tr>
        <w:trPr>
          <w:jc w:val="center"/>
        </w:trPr>
        <w:tc>
          <w:tcPr>
            <w:tcW w:w="1790" w:type="dxa"/>
            <w:tcBorders>
              <w:top w:val="nil"/>
              <w:left w:val="single" w:color="000000" w:sz="8" w:space="0"/>
              <w:bottom w:val="single" w:color="000000" w:sz="8" w:space="0"/>
              <w:right w:val="single" w:color="000000" w:sz="8" w:space="0"/>
            </w:tcBorders>
            <w:shd w:val="clear"/>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LBXPFDE</w:t>
            </w:r>
          </w:p>
        </w:tc>
        <w:tc>
          <w:tcPr>
            <w:tcW w:w="549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Perfluorodecanoic acid (PFDeA) (ng/mL)</w:t>
            </w:r>
          </w:p>
        </w:tc>
        <w:tc>
          <w:tcPr>
            <w:tcW w:w="162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0.10</w:t>
            </w:r>
          </w:p>
        </w:tc>
      </w:tr>
      <w:tr>
        <w:trPr>
          <w:jc w:val="center"/>
        </w:trPr>
        <w:tc>
          <w:tcPr>
            <w:tcW w:w="1790" w:type="dxa"/>
            <w:tcBorders>
              <w:top w:val="nil"/>
              <w:left w:val="single" w:color="000000" w:sz="8" w:space="0"/>
              <w:bottom w:val="single" w:color="000000" w:sz="8" w:space="0"/>
              <w:right w:val="single" w:color="000000" w:sz="8" w:space="0"/>
            </w:tcBorders>
            <w:shd w:val="clear"/>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LBXPFHS</w:t>
            </w:r>
          </w:p>
        </w:tc>
        <w:tc>
          <w:tcPr>
            <w:tcW w:w="549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Perfluorohexane sulfonic acid (PFHxS) (ng/mL)</w:t>
            </w:r>
          </w:p>
        </w:tc>
        <w:tc>
          <w:tcPr>
            <w:tcW w:w="162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0.10</w:t>
            </w:r>
          </w:p>
        </w:tc>
      </w:tr>
      <w:tr>
        <w:trPr>
          <w:jc w:val="center"/>
        </w:trPr>
        <w:tc>
          <w:tcPr>
            <w:tcW w:w="1790" w:type="dxa"/>
            <w:tcBorders>
              <w:top w:val="nil"/>
              <w:left w:val="single" w:color="000000" w:sz="8" w:space="0"/>
              <w:bottom w:val="single" w:color="000000" w:sz="8" w:space="0"/>
              <w:right w:val="single" w:color="000000" w:sz="8" w:space="0"/>
            </w:tcBorders>
            <w:shd w:val="clear"/>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LBXMPAH</w:t>
            </w:r>
          </w:p>
        </w:tc>
        <w:tc>
          <w:tcPr>
            <w:tcW w:w="549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2-(N-methylperfluoroctanesulfonamido)acetic acid (Me-PFOSA-AcOH) (ng/mL)</w:t>
            </w:r>
          </w:p>
        </w:tc>
        <w:tc>
          <w:tcPr>
            <w:tcW w:w="162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0.10</w:t>
            </w:r>
          </w:p>
        </w:tc>
      </w:tr>
      <w:tr>
        <w:trPr>
          <w:jc w:val="center"/>
        </w:trPr>
        <w:tc>
          <w:tcPr>
            <w:tcW w:w="1790" w:type="dxa"/>
            <w:tcBorders>
              <w:top w:val="nil"/>
              <w:left w:val="single" w:color="000000" w:sz="8" w:space="0"/>
              <w:bottom w:val="single" w:color="000000" w:sz="8" w:space="0"/>
              <w:right w:val="single" w:color="000000" w:sz="8" w:space="0"/>
            </w:tcBorders>
            <w:shd w:val="clear"/>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LBXPFNA</w:t>
            </w:r>
          </w:p>
        </w:tc>
        <w:tc>
          <w:tcPr>
            <w:tcW w:w="549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Perfluorononanoic acid (PFNA) (ng/mL)</w:t>
            </w:r>
          </w:p>
        </w:tc>
        <w:tc>
          <w:tcPr>
            <w:tcW w:w="162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0.10</w:t>
            </w:r>
          </w:p>
        </w:tc>
      </w:tr>
      <w:tr>
        <w:trPr>
          <w:jc w:val="center"/>
        </w:trPr>
        <w:tc>
          <w:tcPr>
            <w:tcW w:w="1790" w:type="dxa"/>
            <w:tcBorders>
              <w:top w:val="nil"/>
              <w:left w:val="single" w:color="000000" w:sz="8" w:space="0"/>
              <w:bottom w:val="single" w:color="000000" w:sz="8" w:space="0"/>
              <w:right w:val="single" w:color="000000" w:sz="8" w:space="0"/>
            </w:tcBorders>
            <w:shd w:val="clear"/>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LBXPFUA</w:t>
            </w:r>
          </w:p>
        </w:tc>
        <w:tc>
          <w:tcPr>
            <w:tcW w:w="549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Perfluoroundecanoic acid (PFUA) (ng/mL)</w:t>
            </w:r>
          </w:p>
        </w:tc>
        <w:tc>
          <w:tcPr>
            <w:tcW w:w="162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0.10</w:t>
            </w:r>
          </w:p>
        </w:tc>
      </w:tr>
      <w:tr>
        <w:trPr>
          <w:jc w:val="center"/>
        </w:trPr>
        <w:tc>
          <w:tcPr>
            <w:tcW w:w="1790" w:type="dxa"/>
            <w:tcBorders>
              <w:top w:val="nil"/>
              <w:left w:val="single" w:color="000000" w:sz="8" w:space="0"/>
              <w:bottom w:val="single" w:color="000000" w:sz="8" w:space="0"/>
              <w:right w:val="single" w:color="000000" w:sz="8" w:space="0"/>
            </w:tcBorders>
            <w:shd w:val="clear"/>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LBXNFOA</w:t>
            </w:r>
          </w:p>
        </w:tc>
        <w:tc>
          <w:tcPr>
            <w:tcW w:w="549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n-perfluorooctanoic acid (n-PFOA) (ng/mL)</w:t>
            </w:r>
          </w:p>
        </w:tc>
        <w:tc>
          <w:tcPr>
            <w:tcW w:w="162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0.10</w:t>
            </w:r>
          </w:p>
        </w:tc>
      </w:tr>
      <w:tr>
        <w:trPr>
          <w:jc w:val="center"/>
        </w:trPr>
        <w:tc>
          <w:tcPr>
            <w:tcW w:w="1790" w:type="dxa"/>
            <w:tcBorders>
              <w:top w:val="nil"/>
              <w:left w:val="single" w:color="000000" w:sz="8" w:space="0"/>
              <w:bottom w:val="single" w:color="000000" w:sz="8" w:space="0"/>
              <w:right w:val="single" w:color="000000" w:sz="8" w:space="0"/>
            </w:tcBorders>
            <w:shd w:val="clear"/>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LBXBFOA</w:t>
            </w:r>
          </w:p>
        </w:tc>
        <w:tc>
          <w:tcPr>
            <w:tcW w:w="549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Branch perfluorooctanoic acid isomers (Sb-PFOA) (ng/mL)</w:t>
            </w:r>
          </w:p>
        </w:tc>
        <w:tc>
          <w:tcPr>
            <w:tcW w:w="162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0.10</w:t>
            </w:r>
          </w:p>
        </w:tc>
      </w:tr>
      <w:tr>
        <w:trPr>
          <w:jc w:val="center"/>
        </w:trPr>
        <w:tc>
          <w:tcPr>
            <w:tcW w:w="1790" w:type="dxa"/>
            <w:tcBorders>
              <w:top w:val="nil"/>
              <w:left w:val="single" w:color="000000" w:sz="8" w:space="0"/>
              <w:bottom w:val="single" w:color="000000" w:sz="8" w:space="0"/>
              <w:right w:val="single" w:color="000000" w:sz="8" w:space="0"/>
            </w:tcBorders>
            <w:shd w:val="clear"/>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LBXNFOS</w:t>
            </w:r>
          </w:p>
        </w:tc>
        <w:tc>
          <w:tcPr>
            <w:tcW w:w="549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n-perfluorooctane sulfonic acid (n-PFOS) (ng/mL)</w:t>
            </w:r>
          </w:p>
        </w:tc>
        <w:tc>
          <w:tcPr>
            <w:tcW w:w="162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0.10</w:t>
            </w:r>
          </w:p>
        </w:tc>
      </w:tr>
      <w:tr>
        <w:trPr>
          <w:trHeight w:val="585" w:hRule="atLeast"/>
          <w:jc w:val="center"/>
        </w:trPr>
        <w:tc>
          <w:tcPr>
            <w:tcW w:w="1790" w:type="dxa"/>
            <w:tcBorders>
              <w:top w:val="nil"/>
              <w:left w:val="single" w:color="000000" w:sz="8" w:space="0"/>
              <w:bottom w:val="single" w:color="000000" w:sz="8" w:space="0"/>
              <w:right w:val="single" w:color="000000" w:sz="8" w:space="0"/>
            </w:tcBorders>
            <w:shd w:val="clear"/>
            <w:tcMar>
              <w:top w:w="30" w:type="dxa"/>
              <w:left w:w="30" w:type="dxa"/>
              <w:bottom w:w="30" w:type="dxa"/>
              <w:right w:w="30"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LBXMFOS</w:t>
            </w:r>
          </w:p>
        </w:tc>
        <w:tc>
          <w:tcPr>
            <w:tcW w:w="549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Perfluoromethylheptane sulfonic acid isomers (Sm-PFOS) (ng/mL)</w:t>
            </w:r>
          </w:p>
        </w:tc>
        <w:tc>
          <w:tcPr>
            <w:tcW w:w="1620" w:type="dxa"/>
            <w:tcBorders>
              <w:top w:val="nil"/>
              <w:left w:val="nil"/>
              <w:bottom w:val="single" w:color="000000" w:sz="8" w:space="0"/>
              <w:right w:val="single" w:color="000000" w:sz="8" w:space="0"/>
            </w:tcBorders>
            <w:shd w:val="clear"/>
            <w:tcMar>
              <w:top w:w="75" w:type="dxa"/>
              <w:left w:w="75" w:type="dxa"/>
              <w:bottom w:w="75" w:type="dxa"/>
              <w:right w:w="75" w:type="dxa"/>
            </w:tcMar>
            <w:vAlign w:val="top"/>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9" w:lineRule="atLeast"/>
              <w:ind w:left="0" w:right="0"/>
              <w:jc w:val="center"/>
              <w:rPr>
                <w:rFonts w:hint="default" w:ascii="Verdana" w:hAnsi="Verdana" w:cs="Verdana"/>
                <w:sz w:val="21"/>
                <w:szCs w:val="21"/>
              </w:rPr>
            </w:pPr>
            <w:r>
              <w:rPr>
                <w:rFonts w:hint="default" w:ascii="Verdana" w:hAnsi="Verdana" w:cs="Verdana"/>
                <w:sz w:val="21"/>
                <w:szCs w:val="21"/>
                <w:bdr w:val="none" w:color="auto" w:sz="0" w:space="0"/>
              </w:rPr>
              <w:t>0.10</w:t>
            </w:r>
          </w:p>
        </w:tc>
      </w:tr>
    </w:tbl>
    <w:p>
      <w:pPr>
        <w:pStyle w:val="3"/>
        <w:keepNext w:val="0"/>
        <w:keepLines w:val="0"/>
        <w:widowControl/>
        <w:suppressLineNumbers w:val="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References</w:t>
      </w:r>
    </w:p>
    <w:p>
      <w:pPr>
        <w:keepNext w:val="0"/>
        <w:keepLines w:val="0"/>
        <w:widowControl/>
        <w:numPr>
          <w:ilvl w:val="0"/>
          <w:numId w:val="2"/>
        </w:numPr>
        <w:suppressLineNumbers w:val="0"/>
        <w:spacing w:before="126" w:beforeAutospacing="0" w:after="0" w:afterAutospacing="1"/>
        <w:ind w:left="0" w:firstLine="0"/>
      </w:pPr>
      <w:r>
        <w:rPr>
          <w:rFonts w:hint="default" w:ascii="Verdana" w:hAnsi="Verdana" w:cs="Verdana"/>
          <w:i w:val="0"/>
          <w:iCs w:val="0"/>
          <w:caps w:val="0"/>
          <w:color w:val="000000"/>
          <w:spacing w:val="0"/>
          <w:sz w:val="24"/>
          <w:szCs w:val="24"/>
        </w:rPr>
        <w:t>Benskin JP, De Silva AO, Martin JW. 2010. Isomer Profiling of Perfluorinated Substances as a Tool for Source Tracking: A Review of Early Findings and Future Applications. Rev Environ Contam Toxicol:111-160.</w:t>
      </w:r>
    </w:p>
    <w:p>
      <w:pPr>
        <w:keepNext w:val="0"/>
        <w:keepLines w:val="0"/>
        <w:widowControl/>
        <w:numPr>
          <w:ilvl w:val="0"/>
          <w:numId w:val="2"/>
        </w:numPr>
        <w:suppressLineNumbers w:val="0"/>
        <w:spacing w:before="126" w:beforeAutospacing="0" w:after="0" w:afterAutospacing="1"/>
        <w:ind w:left="0" w:firstLine="0"/>
      </w:pPr>
      <w:r>
        <w:rPr>
          <w:rFonts w:hint="default" w:ascii="Verdana" w:hAnsi="Verdana" w:cs="Verdana"/>
          <w:i w:val="0"/>
          <w:iCs w:val="0"/>
          <w:caps w:val="0"/>
          <w:color w:val="000000"/>
          <w:spacing w:val="0"/>
          <w:sz w:val="24"/>
          <w:szCs w:val="24"/>
        </w:rPr>
        <w:t>Caudill SP, Schleicher RL, Pirkle JL. Multi-rule quality control for the age-related eye disease study. Statist Med 2008;27:4094-4106.</w:t>
      </w:r>
    </w:p>
    <w:p>
      <w:pPr>
        <w:keepNext w:val="0"/>
        <w:keepLines w:val="0"/>
        <w:widowControl/>
        <w:numPr>
          <w:ilvl w:val="0"/>
          <w:numId w:val="2"/>
        </w:numPr>
        <w:suppressLineNumbers w:val="0"/>
        <w:spacing w:before="126" w:beforeAutospacing="0" w:after="0" w:afterAutospacing="1"/>
        <w:ind w:left="0" w:firstLine="0"/>
      </w:pPr>
      <w:r>
        <w:rPr>
          <w:rFonts w:hint="default" w:ascii="Verdana" w:hAnsi="Verdana" w:cs="Verdana"/>
          <w:i w:val="0"/>
          <w:iCs w:val="0"/>
          <w:caps w:val="0"/>
          <w:color w:val="000000"/>
          <w:spacing w:val="0"/>
          <w:sz w:val="24"/>
          <w:szCs w:val="24"/>
        </w:rPr>
        <w:t>Vyas SM, Kania-Korwel I, Lehmler HJ. 2007. Differences in the isomer composition of perfluoroctanesulfonyl (PFOS) derivatives. J Environ Sci Health A Tox Hazard Subst Environ Eng 42:249-255.</w:t>
      </w:r>
    </w:p>
    <w:p>
      <w:pPr>
        <w:keepNext w:val="0"/>
        <w:keepLines w:val="0"/>
        <w:widowControl/>
        <w:numPr>
          <w:ilvl w:val="0"/>
          <w:numId w:val="2"/>
        </w:numPr>
        <w:suppressLineNumbers w:val="0"/>
        <w:spacing w:before="126" w:beforeAutospacing="0" w:after="0" w:afterAutospacing="1"/>
        <w:ind w:left="0" w:firstLine="0"/>
      </w:pPr>
      <w:r>
        <w:rPr>
          <w:rFonts w:hint="default" w:ascii="Verdana" w:hAnsi="Verdana" w:cs="Verdana"/>
          <w:i w:val="0"/>
          <w:iCs w:val="0"/>
          <w:caps w:val="0"/>
          <w:color w:val="000000"/>
          <w:spacing w:val="0"/>
          <w:sz w:val="24"/>
          <w:szCs w:val="24"/>
        </w:rPr>
        <w:t>Westgard JO, Barry PL, Hunt MR, Groth T. A multi-rule Shewhart chart for quality control in clinical chemistry. Clin Chem. 1981 Mar;27(3):493-501.</w:t>
      </w:r>
    </w:p>
    <w:p>
      <w:pPr>
        <w:pStyle w:val="3"/>
        <w:keepNext w:val="0"/>
        <w:keepLines w:val="0"/>
        <w:widowControl/>
        <w:suppressLineNumbers w:val="0"/>
        <w:rPr>
          <w:rFonts w:hint="default" w:ascii="Trebuchet MS" w:hAnsi="Trebuchet MS" w:cs="Trebuchet MS"/>
          <w:b w:val="0"/>
          <w:bCs w:val="0"/>
          <w:color w:val="0C5205"/>
          <w:sz w:val="33"/>
          <w:szCs w:val="33"/>
        </w:rPr>
      </w:pPr>
      <w:r>
        <w:rPr>
          <w:rFonts w:hint="default" w:ascii="Trebuchet MS" w:hAnsi="Trebuchet MS" w:cs="Trebuchet MS"/>
          <w:b w:val="0"/>
          <w:bCs w:val="0"/>
          <w:i w:val="0"/>
          <w:iCs w:val="0"/>
          <w:caps w:val="0"/>
          <w:color w:val="0C5205"/>
          <w:spacing w:val="0"/>
          <w:sz w:val="33"/>
          <w:szCs w:val="33"/>
        </w:rPr>
        <w:t>Codebook and Frequencies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SEQN - Respondent sequence number</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SEQN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Respondent sequence number</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Respondent sequence number.</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WTSB2YR - Subsample B weights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WTSB2YR</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Subsample B weights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Subsample B weights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4674"/>
        <w:gridCol w:w="2607"/>
        <w:gridCol w:w="1031"/>
        <w:gridCol w:w="1763"/>
        <w:gridCol w:w="192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14832.673125 to 1395405.4654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2099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2099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No Lab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34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LBXPFDE - Perfluorodecanoic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LBXPFDE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Perfluorodecanoic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Perfluorodecanoic acid (PFDeA)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711"/>
        <w:gridCol w:w="3306"/>
        <w:gridCol w:w="1307"/>
        <w:gridCol w:w="2236"/>
        <w:gridCol w:w="2440"/>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0.07 to 6.9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LBDPFDEL - Perfluorodecanoic acid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LBDPFDEL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Perfluorodecanoic acid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Perfluorodecanoic acid (PFDeA)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283"/>
        <w:gridCol w:w="4678"/>
        <w:gridCol w:w="1101"/>
        <w:gridCol w:w="1883"/>
        <w:gridCol w:w="205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At or above the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1711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1711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Below lower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LBXPFHS - Perfluorohexane sulfonic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LBXPFHS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Perfluorohexane sulfonic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Perfluorohexane sulfonic acid (PFHxS)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711"/>
        <w:gridCol w:w="3306"/>
        <w:gridCol w:w="1307"/>
        <w:gridCol w:w="2236"/>
        <w:gridCol w:w="2440"/>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0.07 to 48.8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LBDPFHSL - Perfluorohexane sulfonic acid Comt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LBDPFHSL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Perfluorohexane sulfonic acid Comt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Perfluorohexane sulfonic acid (PFHxS)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283"/>
        <w:gridCol w:w="4678"/>
        <w:gridCol w:w="1101"/>
        <w:gridCol w:w="1883"/>
        <w:gridCol w:w="205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At or above the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1916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1916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Below lower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LBXMPAH - 2-(N-methyl-PFOSA)acetic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LBXMPAH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2-(N-methyl-PFOSA)acetic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2-(N-methylperfluoroctanesulfonamido)acetic acid (Me-PFOSA-AcOH)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711"/>
        <w:gridCol w:w="3306"/>
        <w:gridCol w:w="1307"/>
        <w:gridCol w:w="2236"/>
        <w:gridCol w:w="2440"/>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0.07 to 4.5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LBDMPAHL - 2-(N-methyl-PFOSA) acetic acid Comt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LBDMPAHL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2-(N-methyl-PFOSA) acetic acid Comt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2-(N-methylperfluoroctanesulfonamido)acetic acid (Me-PFOSA-AcOH)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283"/>
        <w:gridCol w:w="4678"/>
        <w:gridCol w:w="1101"/>
        <w:gridCol w:w="1883"/>
        <w:gridCol w:w="205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At or above the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1139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1139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Below lower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790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LBXPFNA - Perfluorononanoic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LBXPFNA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Perfluorononanoic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Perfluorononanoic acid (PFNA)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711"/>
        <w:gridCol w:w="3306"/>
        <w:gridCol w:w="1307"/>
        <w:gridCol w:w="2236"/>
        <w:gridCol w:w="2440"/>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0.07 to 6.5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LBDPFNAL - Perfluorononanoic acid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LBDPFNAL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Perfluorononanoic acid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Perfluorononanoic acid (PFNA)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283"/>
        <w:gridCol w:w="4678"/>
        <w:gridCol w:w="1101"/>
        <w:gridCol w:w="1883"/>
        <w:gridCol w:w="205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At or above the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1784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1784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Below lower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145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LBXPFUA - Perfluoroundecanoic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LBXPFUA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Perfluoroundecanoic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Perfluoroundecanoic acid (PFUA)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711"/>
        <w:gridCol w:w="3306"/>
        <w:gridCol w:w="1307"/>
        <w:gridCol w:w="2236"/>
        <w:gridCol w:w="2440"/>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0.07 to 4.8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LBDPFUAL - Perfluoroundecanoic acid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LBDPFUAL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Perfluoroundecanoic acid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Perfluoroundecanoic acid (PFUA)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283"/>
        <w:gridCol w:w="4678"/>
        <w:gridCol w:w="1101"/>
        <w:gridCol w:w="1883"/>
        <w:gridCol w:w="205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At or above the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1274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1274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Below lower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655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LBXNFOA - n-perfluorooctanoic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LBXNFOA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n-perfluorooctanoic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n-perfluorooctanoic acid (n-PFOA)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711"/>
        <w:gridCol w:w="3306"/>
        <w:gridCol w:w="1307"/>
        <w:gridCol w:w="2236"/>
        <w:gridCol w:w="2440"/>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0.07 to 52.8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LBDNFOAL - n-perfluorooctanoic acid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LBDNFOAL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n-perfluorooctanoic acid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n-perfluorooctanoic acid (n-PFOA)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283"/>
        <w:gridCol w:w="4678"/>
        <w:gridCol w:w="1101"/>
        <w:gridCol w:w="1883"/>
        <w:gridCol w:w="205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At or above the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Below lower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LBXBFOA - Br. perfluorooctanoic acid iso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LBXBFOA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Br. perfluorooctanoic acid iso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Branch perfluorooctanoic acid isomers (Sb-PFOA)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711"/>
        <w:gridCol w:w="3306"/>
        <w:gridCol w:w="1307"/>
        <w:gridCol w:w="2236"/>
        <w:gridCol w:w="2440"/>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0.07 to 0.7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LBDBFOAL - Br. perfluorooctanoic acid iso Comt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LBDBFOAL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Br. perfluorooctanoic acid iso Comt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Branch perfluorooctanoic acid isomers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283"/>
        <w:gridCol w:w="4678"/>
        <w:gridCol w:w="1101"/>
        <w:gridCol w:w="1883"/>
        <w:gridCol w:w="205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At or above the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Below lower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1737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LBXNFOS - n-perfluorooctane sulfonic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LBXNFOS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n-perfluorooctane sulfonic acid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n-perfluorooctane sulfonic acid (n-PFOS)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711"/>
        <w:gridCol w:w="3306"/>
        <w:gridCol w:w="1307"/>
        <w:gridCol w:w="2236"/>
        <w:gridCol w:w="2440"/>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0.07 to 88.4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LBDNFOSL - n-perfluorooctane sulfonic Comt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LBDNFOSL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n-perfluorooctane sulfonic Comt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n-perfluorooctane sulfonic acid (n-PFOS)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283"/>
        <w:gridCol w:w="4678"/>
        <w:gridCol w:w="1101"/>
        <w:gridCol w:w="1883"/>
        <w:gridCol w:w="205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At or above the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Below lower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LBXMFOS - Sm-PFOS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LBXMFOS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Sm-PFOS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Perfluoromethylheptane sulfonic acid isomers (Sm-PFOS) (ng/mL)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711"/>
        <w:gridCol w:w="3306"/>
        <w:gridCol w:w="1307"/>
        <w:gridCol w:w="2236"/>
        <w:gridCol w:w="2440"/>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0.07 to 19.3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Range of Values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C1D5B0"/>
        <w:rPr>
          <w:rFonts w:hint="default" w:ascii="Trebuchet MS" w:hAnsi="Trebuchet MS" w:cs="Trebuchet MS"/>
          <w:b w:val="0"/>
          <w:bCs w:val="0"/>
          <w:color w:val="000000"/>
          <w:sz w:val="31"/>
          <w:szCs w:val="31"/>
        </w:rPr>
      </w:pPr>
      <w:r>
        <w:rPr>
          <w:rFonts w:hint="default" w:ascii="Trebuchet MS" w:hAnsi="Trebuchet MS" w:cs="Trebuchet MS"/>
          <w:b w:val="0"/>
          <w:bCs w:val="0"/>
          <w:i w:val="0"/>
          <w:iCs w:val="0"/>
          <w:caps w:val="0"/>
          <w:color w:val="000000"/>
          <w:spacing w:val="0"/>
          <w:sz w:val="31"/>
          <w:szCs w:val="31"/>
          <w:bdr w:val="none" w:color="auto" w:sz="0" w:space="0"/>
          <w:shd w:val="clear" w:fill="C1D5B0"/>
        </w:rPr>
        <w:t>LBDMFOSL - Sm-PFOS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Variable Name: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LBDMFOSL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SAS Label: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Sm-PFOS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English Text: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i w:val="0"/>
          <w:iCs w:val="0"/>
          <w:caps w:val="0"/>
          <w:color w:val="000000"/>
          <w:spacing w:val="0"/>
          <w:bdr w:val="none" w:color="auto" w:sz="0" w:space="0"/>
        </w:rPr>
        <w:t>Perfluoromethylheptane sulfonic acid isomers (Sm-PFOS) Comment Code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i w:val="0"/>
          <w:iCs w:val="0"/>
          <w:caps w:val="0"/>
          <w:color w:val="000000"/>
          <w:spacing w:val="0"/>
          <w:sz w:val="24"/>
          <w:szCs w:val="24"/>
          <w:bdr w:val="none" w:color="auto" w:sz="0" w:space="0"/>
        </w:rPr>
        <w:t>Target: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bdr w:val="none" w:color="auto" w:sz="0" w:space="0"/>
        </w:rPr>
        <w:t>Both males and females 12 YEARS - 150 YEARS</w:t>
      </w:r>
    </w:p>
    <w:tbl>
      <w:tblPr>
        <w:tblW w:w="12000" w:type="dxa"/>
        <w:tblInd w:w="0" w:type="dxa"/>
        <w:tblBorders>
          <w:top w:val="none" w:color="auto" w:sz="16" w:space="0"/>
          <w:left w:val="none" w:color="auto" w:sz="16" w:space="0"/>
          <w:bottom w:val="none" w:color="auto" w:sz="16" w:space="0"/>
          <w:right w:val="none" w:color="auto" w:sz="16" w:space="0"/>
          <w:insideH w:val="none" w:color="auto" w:sz="0" w:space="0"/>
          <w:insideV w:val="none" w:color="auto" w:sz="0" w:space="0"/>
        </w:tblBorders>
        <w:shd w:val="clear"/>
        <w:tblLayout w:type="autofit"/>
        <w:tblCellMar>
          <w:top w:w="40" w:type="dxa"/>
          <w:left w:w="40" w:type="dxa"/>
          <w:bottom w:w="40" w:type="dxa"/>
          <w:right w:w="40" w:type="dxa"/>
        </w:tblCellMar>
      </w:tblPr>
      <w:tblGrid>
        <w:gridCol w:w="2283"/>
        <w:gridCol w:w="4678"/>
        <w:gridCol w:w="1101"/>
        <w:gridCol w:w="1883"/>
        <w:gridCol w:w="2055"/>
      </w:tblGrid>
      <w:tr>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Code or Value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Value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Cumulative</w:t>
            </w:r>
          </w:p>
        </w:tc>
        <w:tc>
          <w:tcPr>
            <w:tcW w:w="0" w:type="auto"/>
            <w:tcBorders>
              <w:top w:val="single" w:color="000000" w:sz="8" w:space="0"/>
              <w:left w:val="single" w:color="000000" w:sz="8" w:space="0"/>
              <w:bottom w:val="single" w:color="000000" w:sz="8" w:space="0"/>
              <w:right w:val="single" w:color="000000" w:sz="8" w:space="0"/>
            </w:tcBorders>
            <w:shd w:val="clear" w:color="auto" w:fill="F4F4E1"/>
            <w:tcMar>
              <w:top w:w="100" w:type="dxa"/>
              <w:left w:w="100" w:type="dxa"/>
              <w:bottom w:w="100" w:type="dxa"/>
              <w:right w:w="100" w:type="dxa"/>
            </w:tcMar>
            <w:vAlign w:val="top"/>
          </w:tcPr>
          <w:p>
            <w:pPr>
              <w:keepNext w:val="0"/>
              <w:keepLines w:val="0"/>
              <w:widowControl/>
              <w:suppressLineNumbers w:val="0"/>
              <w:jc w:val="center"/>
              <w:textAlignment w:val="top"/>
              <w:rPr>
                <w:rFonts w:hint="default" w:ascii="Verdana" w:hAnsi="Verdana" w:cs="Verdana"/>
                <w:b/>
                <w:bCs/>
              </w:rPr>
            </w:pPr>
            <w:r>
              <w:rPr>
                <w:rFonts w:hint="default" w:ascii="Verdana" w:hAnsi="Verdana" w:eastAsia="宋体" w:cs="Verdana"/>
                <w:b/>
                <w:bCs/>
                <w:kern w:val="0"/>
                <w:sz w:val="24"/>
                <w:szCs w:val="24"/>
                <w:bdr w:val="none" w:color="auto" w:sz="0" w:space="0"/>
                <w:lang w:val="en-US" w:eastAsia="zh-CN" w:bidi="ar"/>
              </w:rPr>
              <w:t>Skip to Item</w:t>
            </w: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At or above the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1913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1913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Below lower detection limit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1929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Missing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keepNext w:val="0"/>
              <w:keepLines w:val="0"/>
              <w:widowControl/>
              <w:suppressLineNumbers w:val="0"/>
              <w:jc w:val="left"/>
              <w:textAlignment w:val="top"/>
              <w:rPr>
                <w:rFonts w:hint="default" w:ascii="Verdana" w:hAnsi="Verdana" w:cs="Verdana"/>
              </w:rPr>
            </w:pPr>
            <w:r>
              <w:rPr>
                <w:rFonts w:hint="default" w:ascii="Verdana" w:hAnsi="Verdana" w:eastAsia="宋体" w:cs="Verdana"/>
                <w:kern w:val="0"/>
                <w:sz w:val="24"/>
                <w:szCs w:val="24"/>
                <w:bdr w:val="none" w:color="auto" w:sz="0" w:space="0"/>
                <w:lang w:val="en-US" w:eastAsia="zh-CN" w:bidi="ar"/>
              </w:rPr>
              <w:t>2133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pPr>
              <w:jc w:val="left"/>
              <w:rPr>
                <w:rFonts w:hint="default" w:ascii="Verdana" w:hAnsi="Verdana" w:cs="Verdana"/>
                <w:sz w:val="24"/>
                <w:szCs w:val="24"/>
              </w:rPr>
            </w:pP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Trebuchet MS">
    <w:panose1 w:val="020B0703020202090204"/>
    <w:charset w:val="00"/>
    <w:family w:val="auto"/>
    <w:pitch w:val="default"/>
    <w:sig w:usb0="00000287" w:usb1="00000000" w:usb2="00000000" w:usb3="00000000" w:csb0="2000009F" w:csb1="00000000"/>
  </w:font>
  <w:font w:name="Verdana">
    <w:panose1 w:val="020B0804030504040204"/>
    <w:charset w:val="00"/>
    <w:family w:val="auto"/>
    <w:pitch w:val="default"/>
    <w:sig w:usb0="A1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E7894"/>
    <w:multiLevelType w:val="multilevel"/>
    <w:tmpl w:val="ABFE7894"/>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
      <w:lvlJc w:val="left"/>
      <w:pPr>
        <w:tabs>
          <w:tab w:val="left" w:pos="1440"/>
        </w:tabs>
        <w:ind w:left="1440" w:firstLine="0"/>
      </w:pPr>
      <w:rPr>
        <w:rFonts w:hint="default" w:ascii="Symbol" w:hAnsi="Symbol" w:cs="Symbol"/>
        <w:sz w:val="20"/>
      </w:rPr>
    </w:lvl>
    <w:lvl w:ilvl="2" w:tentative="0">
      <w:start w:val="1"/>
      <w:numFmt w:val="bullet"/>
      <w:lvlText w:val=""/>
      <w:lvlJc w:val="left"/>
      <w:pPr>
        <w:tabs>
          <w:tab w:val="left" w:pos="2160"/>
        </w:tabs>
        <w:ind w:left="2160" w:firstLine="0"/>
      </w:pPr>
      <w:rPr>
        <w:rFonts w:hint="default" w:ascii="Symbol" w:hAnsi="Symbol" w:cs="Symbol"/>
        <w:sz w:val="20"/>
      </w:rPr>
    </w:lvl>
    <w:lvl w:ilvl="3" w:tentative="0">
      <w:start w:val="1"/>
      <w:numFmt w:val="bullet"/>
      <w:lvlText w:val=""/>
      <w:lvlJc w:val="left"/>
      <w:pPr>
        <w:tabs>
          <w:tab w:val="left" w:pos="2880"/>
        </w:tabs>
        <w:ind w:left="2880" w:firstLine="0"/>
      </w:pPr>
      <w:rPr>
        <w:rFonts w:hint="default" w:ascii="Symbol" w:hAnsi="Symbol" w:cs="Symbol"/>
        <w:sz w:val="20"/>
      </w:rPr>
    </w:lvl>
    <w:lvl w:ilvl="4" w:tentative="0">
      <w:start w:val="1"/>
      <w:numFmt w:val="bullet"/>
      <w:lvlText w:val=""/>
      <w:lvlJc w:val="left"/>
      <w:pPr>
        <w:tabs>
          <w:tab w:val="left" w:pos="3600"/>
        </w:tabs>
        <w:ind w:left="3600" w:firstLine="0"/>
      </w:pPr>
      <w:rPr>
        <w:rFonts w:hint="default" w:ascii="Symbol" w:hAnsi="Symbol" w:cs="Symbol"/>
        <w:sz w:val="20"/>
      </w:rPr>
    </w:lvl>
    <w:lvl w:ilvl="5" w:tentative="0">
      <w:start w:val="1"/>
      <w:numFmt w:val="bullet"/>
      <w:lvlText w:val=""/>
      <w:lvlJc w:val="left"/>
      <w:pPr>
        <w:tabs>
          <w:tab w:val="left" w:pos="4320"/>
        </w:tabs>
        <w:ind w:left="4320" w:firstLine="0"/>
      </w:pPr>
      <w:rPr>
        <w:rFonts w:hint="default" w:ascii="Symbol" w:hAnsi="Symbol" w:cs="Symbol"/>
        <w:sz w:val="20"/>
      </w:rPr>
    </w:lvl>
    <w:lvl w:ilvl="6" w:tentative="0">
      <w:start w:val="1"/>
      <w:numFmt w:val="bullet"/>
      <w:lvlText w:val=""/>
      <w:lvlJc w:val="left"/>
      <w:pPr>
        <w:tabs>
          <w:tab w:val="left" w:pos="5040"/>
        </w:tabs>
        <w:ind w:left="5040" w:firstLine="0"/>
      </w:pPr>
      <w:rPr>
        <w:rFonts w:hint="default" w:ascii="Symbol" w:hAnsi="Symbol" w:cs="Symbol"/>
        <w:sz w:val="20"/>
      </w:rPr>
    </w:lvl>
    <w:lvl w:ilvl="7" w:tentative="0">
      <w:start w:val="1"/>
      <w:numFmt w:val="bullet"/>
      <w:lvlText w:val=""/>
      <w:lvlJc w:val="left"/>
      <w:pPr>
        <w:tabs>
          <w:tab w:val="left" w:pos="5760"/>
        </w:tabs>
        <w:ind w:left="5760" w:firstLine="0"/>
      </w:pPr>
      <w:rPr>
        <w:rFonts w:hint="default" w:ascii="Symbol" w:hAnsi="Symbol" w:cs="Symbol"/>
        <w:sz w:val="20"/>
      </w:rPr>
    </w:lvl>
    <w:lvl w:ilvl="8" w:tentative="0">
      <w:start w:val="1"/>
      <w:numFmt w:val="bullet"/>
      <w:lvlText w:val=""/>
      <w:lvlJc w:val="left"/>
      <w:pPr>
        <w:tabs>
          <w:tab w:val="left" w:pos="6480"/>
        </w:tabs>
        <w:ind w:left="6480" w:firstLine="0"/>
      </w:pPr>
      <w:rPr>
        <w:rFonts w:hint="default" w:ascii="Symbol" w:hAnsi="Symbol" w:cs="Symbol"/>
        <w:sz w:val="20"/>
      </w:rPr>
    </w:lvl>
  </w:abstractNum>
  <w:abstractNum w:abstractNumId="1">
    <w:nsid w:val="FEFF05D7"/>
    <w:multiLevelType w:val="multilevel"/>
    <w:tmpl w:val="FEFF05D7"/>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
      <w:lvlJc w:val="left"/>
      <w:pPr>
        <w:tabs>
          <w:tab w:val="left" w:pos="1440"/>
        </w:tabs>
        <w:ind w:left="1440" w:firstLine="0"/>
      </w:pPr>
      <w:rPr>
        <w:rFonts w:hint="default" w:ascii="Symbol" w:hAnsi="Symbol" w:cs="Symbol"/>
        <w:sz w:val="20"/>
      </w:rPr>
    </w:lvl>
    <w:lvl w:ilvl="2" w:tentative="0">
      <w:start w:val="1"/>
      <w:numFmt w:val="bullet"/>
      <w:lvlText w:val=""/>
      <w:lvlJc w:val="left"/>
      <w:pPr>
        <w:tabs>
          <w:tab w:val="left" w:pos="2160"/>
        </w:tabs>
        <w:ind w:left="2160" w:firstLine="0"/>
      </w:pPr>
      <w:rPr>
        <w:rFonts w:hint="default" w:ascii="Symbol" w:hAnsi="Symbol" w:cs="Symbol"/>
        <w:sz w:val="20"/>
      </w:rPr>
    </w:lvl>
    <w:lvl w:ilvl="3" w:tentative="0">
      <w:start w:val="1"/>
      <w:numFmt w:val="bullet"/>
      <w:lvlText w:val=""/>
      <w:lvlJc w:val="left"/>
      <w:pPr>
        <w:tabs>
          <w:tab w:val="left" w:pos="2880"/>
        </w:tabs>
        <w:ind w:left="2880" w:firstLine="0"/>
      </w:pPr>
      <w:rPr>
        <w:rFonts w:hint="default" w:ascii="Symbol" w:hAnsi="Symbol" w:cs="Symbol"/>
        <w:sz w:val="20"/>
      </w:rPr>
    </w:lvl>
    <w:lvl w:ilvl="4" w:tentative="0">
      <w:start w:val="1"/>
      <w:numFmt w:val="bullet"/>
      <w:lvlText w:val=""/>
      <w:lvlJc w:val="left"/>
      <w:pPr>
        <w:tabs>
          <w:tab w:val="left" w:pos="3600"/>
        </w:tabs>
        <w:ind w:left="3600" w:firstLine="0"/>
      </w:pPr>
      <w:rPr>
        <w:rFonts w:hint="default" w:ascii="Symbol" w:hAnsi="Symbol" w:cs="Symbol"/>
        <w:sz w:val="20"/>
      </w:rPr>
    </w:lvl>
    <w:lvl w:ilvl="5" w:tentative="0">
      <w:start w:val="1"/>
      <w:numFmt w:val="bullet"/>
      <w:lvlText w:val=""/>
      <w:lvlJc w:val="left"/>
      <w:pPr>
        <w:tabs>
          <w:tab w:val="left" w:pos="4320"/>
        </w:tabs>
        <w:ind w:left="4320" w:firstLine="0"/>
      </w:pPr>
      <w:rPr>
        <w:rFonts w:hint="default" w:ascii="Symbol" w:hAnsi="Symbol" w:cs="Symbol"/>
        <w:sz w:val="20"/>
      </w:rPr>
    </w:lvl>
    <w:lvl w:ilvl="6" w:tentative="0">
      <w:start w:val="1"/>
      <w:numFmt w:val="bullet"/>
      <w:lvlText w:val=""/>
      <w:lvlJc w:val="left"/>
      <w:pPr>
        <w:tabs>
          <w:tab w:val="left" w:pos="5040"/>
        </w:tabs>
        <w:ind w:left="5040" w:firstLine="0"/>
      </w:pPr>
      <w:rPr>
        <w:rFonts w:hint="default" w:ascii="Symbol" w:hAnsi="Symbol" w:cs="Symbol"/>
        <w:sz w:val="20"/>
      </w:rPr>
    </w:lvl>
    <w:lvl w:ilvl="7" w:tentative="0">
      <w:start w:val="1"/>
      <w:numFmt w:val="bullet"/>
      <w:lvlText w:val=""/>
      <w:lvlJc w:val="left"/>
      <w:pPr>
        <w:tabs>
          <w:tab w:val="left" w:pos="5760"/>
        </w:tabs>
        <w:ind w:left="5760" w:firstLine="0"/>
      </w:pPr>
      <w:rPr>
        <w:rFonts w:hint="default" w:ascii="Symbol" w:hAnsi="Symbol" w:cs="Symbol"/>
        <w:sz w:val="20"/>
      </w:rPr>
    </w:lvl>
    <w:lvl w:ilvl="8" w:tentative="0">
      <w:start w:val="1"/>
      <w:numFmt w:val="bullet"/>
      <w:lvlText w:val=""/>
      <w:lvlJc w:val="left"/>
      <w:pPr>
        <w:tabs>
          <w:tab w:val="left" w:pos="6480"/>
        </w:tabs>
        <w:ind w:left="6480" w:firstLine="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DF46A2"/>
    <w:rsid w:val="36DF4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Hyperlink"/>
    <w:basedOn w:val="9"/>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2026-02-11T23:22:00Z</dcterms:created>
  <dc:creator>伞下看雨</dc:creator>
  <cp:lastModifiedBy>伞下看雨</cp:lastModifiedBy>
  <dcterms:modified xsi:type="dcterms:W3CDTF">2026-02-11T23:23:13Z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A850888702A7A8A2CF9E8C6982D79636_41</vt:lpwstr>
  </property>
</Properties>
</file>