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8E1" w:rsidRDefault="0060538E">
      <w:pPr>
        <w:pStyle w:val="SupplementaryMaterial"/>
        <w:rPr>
          <w:b w:val="0"/>
        </w:rPr>
      </w:pPr>
      <w:r>
        <w:t>Supplementary Material</w:t>
      </w:r>
    </w:p>
    <w:p w:rsidR="00AC78E1" w:rsidRDefault="0060538E">
      <w:pPr>
        <w:pStyle w:val="Heading1"/>
        <w:numPr>
          <w:ilvl w:val="0"/>
          <w:numId w:val="2"/>
        </w:numPr>
      </w:pPr>
      <w:r>
        <w:t>Supplementary Figures and Tables</w:t>
      </w:r>
    </w:p>
    <w:p w:rsidR="00AC78E1" w:rsidRDefault="0060538E">
      <w:pPr>
        <w:pStyle w:val="Heading2"/>
        <w:numPr>
          <w:ilvl w:val="1"/>
          <w:numId w:val="2"/>
        </w:numPr>
      </w:pPr>
      <w:r>
        <w:t>Supplementary Figures</w:t>
      </w:r>
    </w:p>
    <w:p w:rsidR="00AC78E1" w:rsidRDefault="0060538E">
      <w:pPr>
        <w:jc w:val="both"/>
      </w:pPr>
      <w:r>
        <w:rPr>
          <w:rFonts w:asciiTheme="minorHAnsi" w:hAnsiTheme="minorHAnsi" w:cstheme="minorHAnsi"/>
          <w:b/>
        </w:rPr>
        <w:t xml:space="preserve">Supplementary Figure S1:  Relationship between Average Amino-acid Identity (AAI) and Average Nucleotide Identity (ANI). </w:t>
      </w:r>
      <w:r>
        <w:rPr>
          <w:rFonts w:asciiTheme="minorHAnsi" w:hAnsiTheme="minorHAnsi" w:cstheme="minorHAnsi"/>
        </w:rPr>
        <w:t>ANI and AAI are shown in Fig 3A.</w:t>
      </w:r>
    </w:p>
    <w:p w:rsidR="00AC78E1" w:rsidRDefault="0060538E">
      <w:pPr>
        <w:jc w:val="both"/>
      </w:pPr>
      <w:r>
        <w:rPr>
          <w:rFonts w:asciiTheme="minorHAnsi" w:hAnsiTheme="minorHAnsi" w:cstheme="minorHAnsi"/>
          <w:b/>
        </w:rPr>
        <w:t xml:space="preserve">Supplementary Figure S2: Number of gained genes located in genomic islands for all 81 </w:t>
      </w:r>
      <w:proofErr w:type="spellStart"/>
      <w:r>
        <w:rPr>
          <w:rFonts w:asciiTheme="minorHAnsi" w:hAnsiTheme="minorHAnsi" w:cstheme="minorHAnsi"/>
          <w:b/>
        </w:rPr>
        <w:t>picocyanobacterial</w:t>
      </w:r>
      <w:proofErr w:type="spellEnd"/>
      <w:r>
        <w:rPr>
          <w:rFonts w:asciiTheme="minorHAnsi" w:hAnsiTheme="minorHAnsi" w:cstheme="minorHAnsi"/>
          <w:b/>
        </w:rPr>
        <w:t xml:space="preserve"> genomes. </w:t>
      </w:r>
      <w:r>
        <w:rPr>
          <w:rFonts w:asciiTheme="minorHAnsi" w:hAnsiTheme="minorHAnsi" w:cstheme="minorHAnsi"/>
        </w:rPr>
        <w:t>The color scale indicates the total number of gained genes (log</w:t>
      </w:r>
      <w:r>
        <w:rPr>
          <w:rFonts w:asciiTheme="minorHAnsi" w:hAnsiTheme="minorHAnsi" w:cstheme="minorHAnsi"/>
          <w:vertAlign w:val="subscript"/>
        </w:rPr>
        <w:t>2</w:t>
      </w:r>
      <w:r>
        <w:rPr>
          <w:rFonts w:asciiTheme="minorHAnsi" w:hAnsiTheme="minorHAnsi" w:cstheme="minorHAnsi"/>
        </w:rPr>
        <w:t>) predicted to be located in genomic islands in each pair of genomes. The diagonal color is thus representative of the number of gained genes in genomic islands in each genome. Strains are ordered according to their phylogenetic relatedness.</w:t>
      </w:r>
    </w:p>
    <w:p w:rsidR="00AC78E1" w:rsidRDefault="0060538E">
      <w:pPr>
        <w:jc w:val="both"/>
      </w:pPr>
      <w:r>
        <w:rPr>
          <w:rFonts w:asciiTheme="minorHAnsi" w:hAnsiTheme="minorHAnsi" w:cstheme="minorHAnsi"/>
          <w:b/>
        </w:rPr>
        <w:t xml:space="preserve">Supplementary Figure S3: Comparison of the genomic islands delineated in previous and current work for a selection of </w:t>
      </w:r>
      <w:proofErr w:type="spellStart"/>
      <w:r>
        <w:rPr>
          <w:rFonts w:asciiTheme="minorHAnsi" w:hAnsiTheme="minorHAnsi" w:cstheme="minorHAnsi"/>
          <w:b/>
        </w:rPr>
        <w:t>picocyanobacterial</w:t>
      </w:r>
      <w:proofErr w:type="spellEnd"/>
      <w:r>
        <w:rPr>
          <w:rFonts w:asciiTheme="minorHAnsi" w:hAnsiTheme="minorHAnsi" w:cstheme="minorHAnsi"/>
          <w:b/>
        </w:rPr>
        <w:t xml:space="preserve"> strains. </w:t>
      </w:r>
      <w:r>
        <w:rPr>
          <w:rFonts w:asciiTheme="minorHAnsi" w:hAnsiTheme="minorHAnsi" w:cstheme="minorHAnsi"/>
        </w:rPr>
        <w:t xml:space="preserve">Results are shown for 2 </w:t>
      </w:r>
      <w:proofErr w:type="spellStart"/>
      <w:r>
        <w:rPr>
          <w:rFonts w:asciiTheme="minorHAnsi" w:hAnsiTheme="minorHAnsi" w:cstheme="minorHAnsi"/>
          <w:i/>
        </w:rPr>
        <w:t>Prochlorococcus</w:t>
      </w:r>
      <w:proofErr w:type="spellEnd"/>
      <w:r>
        <w:rPr>
          <w:rFonts w:asciiTheme="minorHAnsi" w:hAnsiTheme="minorHAnsi" w:cstheme="minorHAnsi"/>
        </w:rPr>
        <w:t xml:space="preserve"> strains (MED4, HLI and MIT9312, HLII) and 2 </w:t>
      </w:r>
      <w:proofErr w:type="spellStart"/>
      <w:r>
        <w:rPr>
          <w:rFonts w:asciiTheme="minorHAnsi" w:hAnsiTheme="minorHAnsi" w:cstheme="minorHAnsi"/>
          <w:i/>
        </w:rPr>
        <w:t>Synechococcus</w:t>
      </w:r>
      <w:proofErr w:type="spellEnd"/>
      <w:r>
        <w:rPr>
          <w:rFonts w:asciiTheme="minorHAnsi" w:hAnsiTheme="minorHAnsi" w:cstheme="minorHAnsi"/>
        </w:rPr>
        <w:t xml:space="preserve"> strains (CC9605, clade II and WH8102, clade III) for which islands were defined in previous studies. The green line indicates the percentage of gained genes in 10 kb windows with a 100 </w:t>
      </w:r>
      <w:proofErr w:type="spellStart"/>
      <w:r>
        <w:rPr>
          <w:rFonts w:asciiTheme="minorHAnsi" w:hAnsiTheme="minorHAnsi" w:cstheme="minorHAnsi"/>
        </w:rPr>
        <w:t>bp</w:t>
      </w:r>
      <w:proofErr w:type="spellEnd"/>
      <w:r>
        <w:rPr>
          <w:rFonts w:asciiTheme="minorHAnsi" w:hAnsiTheme="minorHAnsi" w:cstheme="minorHAnsi"/>
        </w:rPr>
        <w:t xml:space="preserve"> step. The black line indicates the 50% cut-off that we applied to delineate genomic islands. The location of islands defined in this study are indicated in orange. The location of islands previously defined in Supplementary Table S3 of </w:t>
      </w:r>
      <w:r>
        <w:fldChar w:fldCharType="begin"/>
      </w:r>
      <w:r>
        <w:instrText>ADDIN CSL_CITATION {"citationItems":[{"id":"ITEM-1","itemData":{"DOI":"10.1126/science.1122050","ISBN":"1095-9203 (Electronic)\\r0036-8075 (Linking)","ISSN":"0036-8075","PMID":"16556843","abstract":"Prochlorococcus ecotypes are a useful system for exploring the origin and function of diversity among closely related microbes. The genetic variability between phenotypically distinct strains that differ by less that 1% in 16S ribosomal RNA sequences occurs mostly in genomic islands. Island genes appear to have been acquired in part by phage-mediated lateral gene transfer, and some are differentially expressed under light and nutrient stress. Furthermore, genome fragments directly recovered from ocean ecosystems indicate that these islands are variable among cooccurring Prochlorococcus cells. Genomic islands in this free-living photoautotroph share features with pathogenicity islands of parasitic bacteria, suggesting a general mechanism for niche differentiation in microbial species.","author":[{"dropping-particle":"","family":"Coleman","given":"Maureen L","non-dropping-particle":"","parse-names":false,"suffix":""},{"dropping-particle":"","family":"Sullivan","given":"Matthew B","non-dropping-particle":"","parse-names":false,"suffix":""},{"dropping-particle":"","family":"Martiny","given":"Adam C","non-dropping-particle":"","parse-names":false,"suffix":""},{"dropping-particle":"","family":"Steglich","given":"Claudia","non-dropping-particle":"","parse-names":false,"suffix":""},{"dropping-particle":"","family":"Barry","given":"Kerrie","non-dropping-particle":"","parse-names":false,"suffix":""},{"dropping-particle":"","family":"Delong","given":"Edward F","non-dropping-particle":"","parse-names":false,"suffix":""},{"dropping-particle":"","family":"Chisholm","given":"Sallie W","non-dropping-particle":"","parse-names":false,"suffix":""}],"container-title":"Science (New York, N.Y.)","id":"ITEM-1","issue":"5768","issued":{"date-parts":[["2006"]]},"page":"1768-1770","title":"Genomic islands and the ecology and evolution of &lt;i&gt;Prochlorococcus&lt;/i&gt;","type":"article-journal","volume":"311"},"uris":["http://www.mendeley.com/documents/?uuid=edccc889-064d-4722-ac14-9634170d62dc"]}],"mendeley":{"formattedCitation":"[52]","plainTextFormattedCitation":"[52]","previouslyFormattedCitation":"[52]"},"properties":{"noteIndex":0},"schema":"https://github.com/citation-style-language/schema/raw/master/csl-citation.json"}</w:instrText>
      </w:r>
      <w:r>
        <w:fldChar w:fldCharType="separate"/>
      </w:r>
      <w:bookmarkStart w:id="0" w:name="__Fieldmark__3690_3856707969"/>
      <w:r>
        <w:rPr>
          <w:rFonts w:asciiTheme="minorHAnsi" w:hAnsiTheme="minorHAnsi" w:cstheme="minorHAnsi"/>
        </w:rPr>
        <w:t>[52]</w:t>
      </w:r>
      <w:r>
        <w:fldChar w:fldCharType="end"/>
      </w:r>
      <w:bookmarkEnd w:id="0"/>
      <w:r>
        <w:rPr>
          <w:rFonts w:asciiTheme="minorHAnsi" w:hAnsiTheme="minorHAnsi" w:cstheme="minorHAnsi"/>
        </w:rPr>
        <w:t xml:space="preserve"> and Supplementary Material 5 of </w:t>
      </w:r>
      <w:r>
        <w:fldChar w:fldCharType="begin"/>
      </w:r>
      <w:r>
        <w:instrText>ADDIN CSL_CITATION {"citationItems":[{"id":"ITEM-1","itemData":{"DOI":"10.1186/gb-2008-9-5-r90","ISBN":"1465-6914 (Electronic) 1465-6906 (Linking)","ISSN":"1465-6914","PMID":"18507822","abstract":"BACKGROUND: The picocyanobacterial genus Synechococcus occurs over wide oceanic expanses, having colonized most available niches in the photic zone. Large scale distribution patterns of the different Synechococcus clades (based on 16S rRNA gene markers) suggest the occurrence of two major lifestyles ('opportunists'/'specialists'), corresponding to two distinct broad habitats ('coastal'/'open ocean'). Yet, the genetic basis of niche partitioning is still poorly understood in this ecologically important group.\n\nRESULTS: Here, we compare the genomes of 11 marine Synechococcus isolates, representing 10 distinct lineages. Phylogenies inferred from the core genome allowed us to refine the taxonomic relationships between clades by revealing a clear dichotomy within the main subcluster, reminiscent of the two aforementioned lifestyles. Genome size is strongly correlated with the cumulative lengths of hypervariable regions (or 'islands'). One of these, encompassing most genes encoding the light-harvesting phycobilisome rod complexes, is involved in adaptation to changes in light quality and has clearly been transferred between members of different Synechococcus lineages. Furthermore, we observed that two strains (RS9917 and WH5701) that have similar pigmentation and physiology have an unusually high number of genes in common, given their phylogenetic distance.\n\nCONCLUSION: We propose that while members of a given marine Synechococcus lineage may have the same broad geographical distribution, local niche occupancy is facilitated by lateral gene transfers, a process in which genomic islands play a key role as a repository for transferred genes. Our work also highlights the need for developing picocyanobacterial systematics based on genome-derived parameters combined with ecological and physiological data.","author":[{"dropping-particle":"","family":"Dufresne","given":"Alexis","non-dropping-particle":"","parse-names":false,"suffix":""},{"dropping-particle":"","family":"Ostrowski","given":"Martin","non-dropping-particle":"","parse-names":false,"suffix":""},{"dropping-particle":"","family":"Scanlan","given":"David J","non-dropping-particle":"","parse-names":false,"suffix":""},{"dropping-particle":"","family":"Garczarek","given":"Laurence","non-dropping-particle":"","parse-names":false,"suffix":""},{"dropping-particle":"","family":"Mazard","given":"Sophie","non-dropping-particle":"","parse-names":false,"suffix":""},{"dropping-particle":"","family":"Palenik","given":"Brian P","non-dropping-particle":"","parse-names":false,"suffix":""},{"dropping-particle":"","family":"Paulsen","given":"Ian T","non-dropping-particle":"","parse-names":false,"suffix":""},{"dropping-particle":"","family":"Marsac","given":"Nicole Tandeau","non-dropping-particle":"de","parse-names":false,"suffix":""},{"dropping-particle":"","family":"Wincker","given":"Patrick","non-dropping-particle":"","parse-names":false,"suffix":""},{"dropping-particle":"","family":"Dossat","given":"Carole","non-dropping-particle":"","parse-names":false,"suffix":""},{"dropping-particle":"","family":"Ferriera","given":"Steve","non-dropping-particle":"","parse-names":false,"suffix":""},{"dropping-particle":"","family":"Johnson","given":"Justin","non-dropping-particle":"","parse-names":false,"suffix":""},{"dropping-particle":"","family":"Post","given":"Anton F","non-dropping-particle":"","parse-names":false,"suffix":""},{"dropping-particle":"","family":"Hess","given":"Wolfgang R","non-dropping-particle":"","parse-names":false,"suffix":""},{"dropping-particle":"","family":"Partensky","given":"Frédéric","non-dropping-particle":"","parse-names":false,"suffix":""}],"container-title":"Genome biology","id":"ITEM-1","issue":"5","issued":{"date-parts":[["2008","1"]]},"page":"R90","title":"Unraveling the genomic mosaic of a ubiquitous genus of marine cyanobacteria.","type":"article-journal","volume":"9"},"uris":["http://www.mendeley.com/documents/?uuid=b2302d6b-68e8-45a0-8c27-e4938dc8b1dc"]}],"mendeley":{"formattedCitation":"[23]","plainTextFormattedCitation":"[23]","previouslyFormattedCitation":"[23]"},"properties":{"noteIndex":0},"schema":"https://github.com/citation-style-language/schema/raw/master/csl-citation.json"}</w:instrText>
      </w:r>
      <w:r>
        <w:fldChar w:fldCharType="separate"/>
      </w:r>
      <w:bookmarkStart w:id="1" w:name="__Fieldmark__3696_3856707969"/>
      <w:r>
        <w:rPr>
          <w:rFonts w:asciiTheme="minorHAnsi" w:hAnsiTheme="minorHAnsi" w:cstheme="minorHAnsi"/>
        </w:rPr>
        <w:t>[23]</w:t>
      </w:r>
      <w:r>
        <w:fldChar w:fldCharType="end"/>
      </w:r>
      <w:bookmarkEnd w:id="1"/>
      <w:r>
        <w:rPr>
          <w:rFonts w:asciiTheme="minorHAnsi" w:hAnsiTheme="minorHAnsi" w:cstheme="minorHAnsi"/>
        </w:rPr>
        <w:t xml:space="preserve"> are indicated in blue and red, respectively. Abbreviations: ISL and SVR correspond to ‘islands’ and ‘smaller variable regions’, respectively as defined in previous work; GI, genomic islands, as defined in the present work.</w:t>
      </w:r>
    </w:p>
    <w:p w:rsidR="00AC78E1" w:rsidRDefault="0060538E">
      <w:pPr>
        <w:jc w:val="both"/>
      </w:pPr>
      <w:r>
        <w:rPr>
          <w:rFonts w:asciiTheme="minorHAnsi" w:hAnsiTheme="minorHAnsi" w:cstheme="minorHAnsi"/>
          <w:b/>
        </w:rPr>
        <w:t xml:space="preserve">Supplementary Figure S4: Comparison of within and between clades evolution rates. </w:t>
      </w:r>
      <w:r>
        <w:rPr>
          <w:rFonts w:asciiTheme="minorHAnsi" w:hAnsiTheme="minorHAnsi" w:cstheme="minorHAnsi"/>
        </w:rPr>
        <w:t>The boxplots show the distribution of ratios of clade external to internal branch lengths for each node highlighted by blue dots in Fig. 8, as calculated from trees based on core proteins and phyletic patterns, respectively. Differences between the mean ratios were assessed by a paired Mann-Whitney-Wilcoxon test (p-value ≤ 0.0009).</w:t>
      </w:r>
    </w:p>
    <w:p w:rsidR="00AC78E1" w:rsidRDefault="0060538E">
      <w:pPr>
        <w:jc w:val="both"/>
      </w:pPr>
      <w:r>
        <w:rPr>
          <w:rFonts w:asciiTheme="minorHAnsi" w:hAnsiTheme="minorHAnsi" w:cstheme="minorHAnsi"/>
          <w:b/>
        </w:rPr>
        <w:t xml:space="preserve">Supplementary Figure S5: </w:t>
      </w:r>
      <w:r>
        <w:rPr>
          <w:rFonts w:asciiTheme="minorHAnsi" w:hAnsiTheme="minorHAnsi" w:cstheme="minorHAnsi"/>
          <w:b/>
          <w:bCs/>
        </w:rPr>
        <w:t>Linear regressions used to calculate the rates of gene gains and the rates of fixation of specific genes. (A)</w:t>
      </w:r>
      <w:r>
        <w:rPr>
          <w:rFonts w:asciiTheme="minorHAnsi" w:hAnsiTheme="minorHAnsi" w:cstheme="minorHAnsi"/>
        </w:rPr>
        <w:t xml:space="preserve"> Maximum-likelihood tree, only the topology is given. Nodes used to calculate evolutionary rates are colored in blue (SC 5.1) and orange (</w:t>
      </w:r>
      <w:proofErr w:type="spellStart"/>
      <w:r>
        <w:rPr>
          <w:rFonts w:asciiTheme="minorHAnsi" w:hAnsiTheme="minorHAnsi" w:cstheme="minorHAnsi"/>
          <w:i/>
          <w:iCs/>
        </w:rPr>
        <w:t>Prochlorococcus</w:t>
      </w:r>
      <w:proofErr w:type="spellEnd"/>
      <w:r>
        <w:rPr>
          <w:rFonts w:asciiTheme="minorHAnsi" w:hAnsiTheme="minorHAnsi" w:cstheme="minorHAnsi"/>
          <w:i/>
          <w:iCs/>
        </w:rPr>
        <w:t xml:space="preserve"> </w:t>
      </w:r>
      <w:r>
        <w:rPr>
          <w:rFonts w:asciiTheme="minorHAnsi" w:hAnsiTheme="minorHAnsi" w:cstheme="minorHAnsi"/>
        </w:rPr>
        <w:t xml:space="preserve">HL). Circles indicate internal nodes, and squares indicate leaves. </w:t>
      </w:r>
      <w:r>
        <w:rPr>
          <w:rFonts w:asciiTheme="minorHAnsi" w:hAnsiTheme="minorHAnsi" w:cstheme="minorHAnsi"/>
          <w:b/>
          <w:bCs/>
        </w:rPr>
        <w:t>(B)</w:t>
      </w:r>
      <w:r>
        <w:rPr>
          <w:rFonts w:asciiTheme="minorHAnsi" w:hAnsiTheme="minorHAnsi" w:cstheme="minorHAnsi"/>
        </w:rPr>
        <w:t xml:space="preserve"> The rate of fixation of specific genes is calculated as the slope of the linear regression between the number of specific genes and the time elapsed on the leading branch, for internal nodes of SC 5.1 (blue) and HL (orange). </w:t>
      </w:r>
      <w:r>
        <w:rPr>
          <w:rFonts w:asciiTheme="minorHAnsi" w:hAnsiTheme="minorHAnsi" w:cstheme="minorHAnsi"/>
          <w:b/>
          <w:bCs/>
        </w:rPr>
        <w:t>(C)</w:t>
      </w:r>
      <w:r>
        <w:rPr>
          <w:rFonts w:asciiTheme="minorHAnsi" w:hAnsiTheme="minorHAnsi" w:cstheme="minorHAnsi"/>
        </w:rPr>
        <w:t xml:space="preserve"> A zoom on the black rectangle drawn in panel B. </w:t>
      </w:r>
      <w:r>
        <w:rPr>
          <w:rFonts w:asciiTheme="minorHAnsi" w:hAnsiTheme="minorHAnsi" w:cstheme="minorHAnsi"/>
          <w:b/>
          <w:bCs/>
        </w:rPr>
        <w:t>(D)</w:t>
      </w:r>
      <w:r>
        <w:rPr>
          <w:rFonts w:asciiTheme="minorHAnsi" w:hAnsiTheme="minorHAnsi" w:cstheme="minorHAnsi"/>
        </w:rPr>
        <w:t xml:space="preserve"> The rate of gene gains is calculated as the slope of the linear regression between the number of gained genes per node and the time elapsed on the leading branch, for internal nodes (circles, left panel) and leaves (squares, right panel) of SC 5.1 (blue) and HL (orange). </w:t>
      </w:r>
      <w:r>
        <w:rPr>
          <w:rFonts w:asciiTheme="minorHAnsi" w:hAnsiTheme="minorHAnsi" w:cstheme="minorHAnsi"/>
          <w:b/>
          <w:bCs/>
        </w:rPr>
        <w:t>(E)</w:t>
      </w:r>
      <w:r>
        <w:rPr>
          <w:rFonts w:asciiTheme="minorHAnsi" w:hAnsiTheme="minorHAnsi" w:cstheme="minorHAnsi"/>
        </w:rPr>
        <w:t xml:space="preserve"> A zoom on the black rectangle drawn in panel D. Equations and R² are indicated for each regression. </w:t>
      </w:r>
    </w:p>
    <w:p w:rsidR="00AC78E1" w:rsidRDefault="0060538E">
      <w:pPr>
        <w:jc w:val="both"/>
      </w:pPr>
      <w:r>
        <w:rPr>
          <w:rFonts w:asciiTheme="minorHAnsi" w:hAnsiTheme="minorHAnsi" w:cstheme="minorHAnsi"/>
          <w:b/>
        </w:rPr>
        <w:lastRenderedPageBreak/>
        <w:t xml:space="preserve">Supplementary Figure S6: Linear regressions used to calculate the rates of substitution and the rates of fixation of specific substitutions. </w:t>
      </w:r>
      <w:r>
        <w:rPr>
          <w:rFonts w:asciiTheme="minorHAnsi" w:hAnsiTheme="minorHAnsi" w:cstheme="minorHAnsi"/>
          <w:b/>
          <w:bCs/>
        </w:rPr>
        <w:t>(A)</w:t>
      </w:r>
      <w:r>
        <w:rPr>
          <w:rFonts w:asciiTheme="minorHAnsi" w:hAnsiTheme="minorHAnsi" w:cstheme="minorHAnsi"/>
        </w:rPr>
        <w:t xml:space="preserve"> Maximum-likelihood tree, only the topology is given. Nodes used to calculate evolutionary rates are colored in blue (SC 5.1) and orange (</w:t>
      </w:r>
      <w:proofErr w:type="spellStart"/>
      <w:r>
        <w:rPr>
          <w:rFonts w:asciiTheme="minorHAnsi" w:hAnsiTheme="minorHAnsi" w:cstheme="minorHAnsi"/>
          <w:i/>
        </w:rPr>
        <w:t>Prochlorococcus</w:t>
      </w:r>
      <w:proofErr w:type="spellEnd"/>
      <w:r>
        <w:rPr>
          <w:rFonts w:asciiTheme="minorHAnsi" w:hAnsiTheme="minorHAnsi" w:cstheme="minorHAnsi"/>
        </w:rPr>
        <w:t xml:space="preserve"> HL). Circles indicate internal nodes, and squares indicate leaves. </w:t>
      </w:r>
      <w:r>
        <w:rPr>
          <w:rFonts w:asciiTheme="minorHAnsi" w:hAnsiTheme="minorHAnsi" w:cstheme="minorHAnsi"/>
          <w:b/>
          <w:bCs/>
        </w:rPr>
        <w:t>(B)</w:t>
      </w:r>
      <w:r>
        <w:rPr>
          <w:rFonts w:asciiTheme="minorHAnsi" w:hAnsiTheme="minorHAnsi" w:cstheme="minorHAnsi"/>
        </w:rPr>
        <w:t xml:space="preserve"> The rate of specific amino-acid fixation is calculated as the slope of the linear regression between the number of node-specific amino-acid substitutions and the time elapsed on the leading branch, for internal nodes of SC 5.1 (blue) and HL (orange). </w:t>
      </w:r>
      <w:r>
        <w:rPr>
          <w:rFonts w:asciiTheme="minorHAnsi" w:hAnsiTheme="minorHAnsi" w:cstheme="minorHAnsi"/>
          <w:b/>
          <w:bCs/>
        </w:rPr>
        <w:t>(C)</w:t>
      </w:r>
      <w:r>
        <w:rPr>
          <w:rFonts w:asciiTheme="minorHAnsi" w:hAnsiTheme="minorHAnsi" w:cstheme="minorHAnsi"/>
        </w:rPr>
        <w:t xml:space="preserve"> A zoom on the black rectangle drawn in panel B. </w:t>
      </w:r>
      <w:r>
        <w:rPr>
          <w:rFonts w:asciiTheme="minorHAnsi" w:hAnsiTheme="minorHAnsi" w:cstheme="minorHAnsi"/>
          <w:b/>
          <w:bCs/>
        </w:rPr>
        <w:t>(D)</w:t>
      </w:r>
      <w:r>
        <w:rPr>
          <w:rFonts w:asciiTheme="minorHAnsi" w:hAnsiTheme="minorHAnsi" w:cstheme="minorHAnsi"/>
        </w:rPr>
        <w:t xml:space="preserve"> The rate of amino-acid substitution is calculated as the slope of the linear regression between the number of amino-acid substitutions and the time elapsed on the leading branch, for internal nodes (circles) and leaves (squares) of SC 5.1 (blue) and HL (orange). </w:t>
      </w:r>
      <w:r>
        <w:rPr>
          <w:rFonts w:asciiTheme="minorHAnsi" w:hAnsiTheme="minorHAnsi" w:cstheme="minorHAnsi"/>
          <w:b/>
          <w:bCs/>
        </w:rPr>
        <w:t>(E)</w:t>
      </w:r>
      <w:r>
        <w:rPr>
          <w:rFonts w:asciiTheme="minorHAnsi" w:hAnsiTheme="minorHAnsi" w:cstheme="minorHAnsi"/>
        </w:rPr>
        <w:t xml:space="preserve"> A zoom on the black rectangle drawn in panel D.  Equations and R² are indicated for each regression.</w:t>
      </w:r>
    </w:p>
    <w:p w:rsidR="00AC78E1" w:rsidRDefault="0060538E">
      <w:pPr>
        <w:jc w:val="both"/>
      </w:pPr>
      <w:r>
        <w:rPr>
          <w:rFonts w:asciiTheme="minorHAnsi" w:hAnsiTheme="minorHAnsi" w:cstheme="minorHAnsi"/>
          <w:b/>
        </w:rPr>
        <w:t xml:space="preserve">Supplementary Figure S7: Phylogenetic tree of the 81 </w:t>
      </w:r>
      <w:proofErr w:type="spellStart"/>
      <w:r>
        <w:rPr>
          <w:rFonts w:asciiTheme="minorHAnsi" w:hAnsiTheme="minorHAnsi" w:cstheme="minorHAnsi"/>
          <w:b/>
        </w:rPr>
        <w:t>picocyanobacterial</w:t>
      </w:r>
      <w:proofErr w:type="spellEnd"/>
      <w:r>
        <w:rPr>
          <w:rFonts w:asciiTheme="minorHAnsi" w:hAnsiTheme="minorHAnsi" w:cstheme="minorHAnsi"/>
          <w:b/>
        </w:rPr>
        <w:t xml:space="preserve"> strains based on 821 concatenated core proteins, with internal nodes named. </w:t>
      </w:r>
      <w:r>
        <w:rPr>
          <w:rFonts w:asciiTheme="minorHAnsi" w:hAnsiTheme="minorHAnsi" w:cstheme="minorHAnsi"/>
        </w:rPr>
        <w:t>Maximum-likelihood tree, only the topology is given. Node names used in the text are indicated.</w:t>
      </w:r>
    </w:p>
    <w:p w:rsidR="00AC78E1" w:rsidRDefault="00AC78E1">
      <w:pPr>
        <w:jc w:val="both"/>
      </w:pPr>
    </w:p>
    <w:p w:rsidR="00AC78E1" w:rsidRDefault="0060538E">
      <w:pPr>
        <w:pStyle w:val="Heading2"/>
        <w:numPr>
          <w:ilvl w:val="1"/>
          <w:numId w:val="2"/>
        </w:numPr>
        <w:jc w:val="both"/>
      </w:pPr>
      <w:r>
        <w:t>Supplementary Tables</w:t>
      </w:r>
    </w:p>
    <w:p w:rsidR="00AC78E1" w:rsidRDefault="0060538E">
      <w:pPr>
        <w:jc w:val="both"/>
      </w:pPr>
      <w:r>
        <w:rPr>
          <w:b/>
          <w:bCs/>
        </w:rPr>
        <w:t>Supplementary Table S1:  Accession numbers and characteristics of the genomes used in this study.</w:t>
      </w:r>
    </w:p>
    <w:p w:rsidR="00AC78E1" w:rsidRDefault="0060538E">
      <w:pPr>
        <w:jc w:val="both"/>
      </w:pPr>
      <w:r>
        <w:rPr>
          <w:rFonts w:cstheme="minorHAnsi"/>
          <w:b/>
        </w:rPr>
        <w:t xml:space="preserve">Supplementary Table S2: Core and accessory genes at each taxonomic level (phylum, genus, sub-cluster or clade) corresponding to colored boxes in Fig. 4A. </w:t>
      </w:r>
      <w:r>
        <w:rPr>
          <w:rFonts w:cstheme="minorHAnsi"/>
        </w:rPr>
        <w:t>A CLOG is considered as core in a taxonomic group if it is present in &gt;= 90% of the strains within this group and only taxonomic groups with more than 3 genomes are considered. Accessory genes are shared by at least 2 strains but are not core at any higher taxonomic level. Unique genes are present only in one strain. Paralogs are considered separately.</w:t>
      </w:r>
    </w:p>
    <w:p w:rsidR="00AC78E1" w:rsidRDefault="0060538E">
      <w:pPr>
        <w:jc w:val="both"/>
      </w:pPr>
      <w:r>
        <w:rPr>
          <w:rFonts w:cstheme="minorHAnsi"/>
          <w:b/>
        </w:rPr>
        <w:t xml:space="preserve">Supplementary Table S3: Genes specific to each </w:t>
      </w:r>
      <w:proofErr w:type="spellStart"/>
      <w:r>
        <w:rPr>
          <w:rFonts w:cstheme="minorHAnsi"/>
          <w:b/>
          <w:i/>
        </w:rPr>
        <w:t>Synechococcus</w:t>
      </w:r>
      <w:proofErr w:type="spellEnd"/>
      <w:r>
        <w:rPr>
          <w:rFonts w:cstheme="minorHAnsi"/>
          <w:b/>
        </w:rPr>
        <w:t xml:space="preserve"> clade. </w:t>
      </w:r>
      <w:r>
        <w:rPr>
          <w:rFonts w:cstheme="minorHAnsi"/>
        </w:rPr>
        <w:t xml:space="preserve">As only a few genes were found to be strictly clade specific, relaxed rules were used (i.e., genes present in at least 80% of strains within a clade and no other </w:t>
      </w:r>
      <w:proofErr w:type="spellStart"/>
      <w:r>
        <w:rPr>
          <w:rFonts w:cstheme="minorHAnsi"/>
          <w:i/>
        </w:rPr>
        <w:t>Synechococcus</w:t>
      </w:r>
      <w:proofErr w:type="spellEnd"/>
      <w:r>
        <w:rPr>
          <w:rFonts w:cstheme="minorHAnsi"/>
        </w:rPr>
        <w:t xml:space="preserve"> strain, cf. column B). Clades gathering only one sequenced strain were not considered (i.e., clades IX, XX and UC-A). CK numbers, i.e. CLOG numbers in the </w:t>
      </w:r>
      <w:proofErr w:type="spellStart"/>
      <w:r>
        <w:rPr>
          <w:rFonts w:cstheme="minorHAnsi"/>
        </w:rPr>
        <w:t>Cyanorak</w:t>
      </w:r>
      <w:proofErr w:type="spellEnd"/>
      <w:r>
        <w:rPr>
          <w:rFonts w:cstheme="minorHAnsi"/>
        </w:rPr>
        <w:t xml:space="preserve"> v2.1 database, which are cited in the text are highlighted.</w:t>
      </w:r>
    </w:p>
    <w:p w:rsidR="00AC78E1" w:rsidRDefault="0060538E">
      <w:pPr>
        <w:jc w:val="both"/>
      </w:pPr>
      <w:r>
        <w:rPr>
          <w:rFonts w:cstheme="minorHAnsi"/>
          <w:b/>
        </w:rPr>
        <w:t xml:space="preserve">Supplementary Table S4: Genes specific to sets of </w:t>
      </w:r>
      <w:proofErr w:type="spellStart"/>
      <w:r>
        <w:rPr>
          <w:rFonts w:cstheme="minorHAnsi"/>
          <w:b/>
          <w:i/>
        </w:rPr>
        <w:t>Synechococcus</w:t>
      </w:r>
      <w:proofErr w:type="spellEnd"/>
      <w:r>
        <w:rPr>
          <w:rFonts w:cstheme="minorHAnsi"/>
          <w:b/>
        </w:rPr>
        <w:t xml:space="preserve"> clades representative of ecologically significant taxonomic unit (ESTU) co-occurring in the field </w:t>
      </w:r>
      <w:r>
        <w:fldChar w:fldCharType="begin"/>
      </w:r>
      <w:r>
        <w:instrText>ADDIN CSL_CITATION {"citationItems":[{"id":"ITEM-1","itemData":{"DOI":"10.1073/pnas.1524865113","ISBN":"1091-6490 (Electronic) 0027-8424 (Linking)","ISSN":"0027-8424","PMID":"27302952","abstract":"Prochlorococcus and Synechococcus are the two most abundant andwidespread phytoplankton in the global ocean. To better under- stand the factors controlling their biogeography, a reference database of the high-resolution taxonomic marker petB, encoding cytochrome b6, was used to recruit reads out of 109 metagenomes from the Tara Oceans expedition. An unsuspected novel genetic diversity was unveiled within both genera, even for the most abundant and well-characterized clades, and 136 divergent petB sequences were successfully assembled from metagenomic reads, significantly enriching the reference database. We then defined Ecologically Sig- nificant Taxonomic Units (ESTUs)—that is, organisms belonging to the same clade and occupying a common oceanic niche. Three major ESTU assemblages were identified along the cruise transect for Prochlorococcus and eight for Synechococcus.Although Prochlorococcus HLIIIA and HLIVA ESTUs codominated in iron- depleted areas of the Pacific Ocean, CRD1 and the yet-to-be cul- tured EnvB were the prevalent Synechococcus clades in this area, with three different CRD1 and EnvB ESTUs occupying distinct eco- logical niches with regard to iron availability and temperature. Sharp community shifts were also observed over short geographic distances—for example, around the Marquesas Islands or between southern Indian and Atlantic Oceans—pointing to a tight correla- tion between ESTU assemblages and specific physico-chemical pa- rameters. Together, this study demonstrates that there is a previously overlooked, ecologically meaningful, fine-scale diver- sity within some currently defined picocyanobacterial ecotypes, bringing novel insights into the ecology, diversity, and biology of the two most abundant phototrophs on Earth.","author":[{"dropping-particle":"","family":"Farrant","given":"Gregory K.","non-dropping-particle":"","parse-names":false,"suffix":""},{"dropping-particle":"","family":"Doré","given":"Hugo","non-dropping-particle":"","parse-names":false,"suffix":""},{"dropping-particle":"","family":"Cornejo-Castillo","given":"Francisco M.","non-dropping-particle":"","parse-names":false,"suffix":""},{"dropping-particle":"","family":"Partensky","given":"Frédéric","non-dropping-particle":"","parse-names":false,"suffix":""},{"dropping-particle":"","family":"Ratin","given":"Morgane","non-dropping-particle":"","parse-names":false,"suffix":""},{"dropping-particle":"","family":"Ostrowski","given":"Martin","non-dropping-particle":"","parse-names":false,"suffix":""},{"dropping-particle":"","family":"Pitt","given":"Frances D.","non-dropping-particle":"","parse-names":false,"suffix":""},{"dropping-particle":"","family":"Wincker","given":"Patrick","non-dropping-particle":"","parse-names":false,"suffix":""},{"dropping-particle":"","family":"Scanlan","given":"David J.","non-dropping-particle":"","parse-names":false,"suffix":""},{"dropping-particle":"","family":"Iudicone","given":"Daniele","non-dropping-particle":"","parse-names":false,"suffix":""},{"dropping-particle":"","family":"Acinas","given":"Silvia G.","non-dropping-particle":"","parse-names":false,"suffix":""},{"dropping-particle":"","family":"Garczarek","given":"Laurence","non-dropping-particle":"","parse-names":false,"suffix":""}],"container-title":"Proceedings of the National Academy of Sciences","id":"ITEM-1","issue":"24","issued":{"date-parts":[["2016","6","2"]]},"page":"E3365-E3374","title":"Delineating ecologically significant taxonomic units from global patterns of marine picocyanobacteria","type":"article-journal","volume":"113"},"uris":["http://www.mendeley.com/documents/?uuid=31bf0cfb-4b57-4a8b-ba7f-166f336b957d"]}],"mendeley":{"formattedCitation":"[21]","plainTextFormattedCitation":"[21]","previouslyFormattedCitation":"[21]"},"properties":{"noteIndex":0},"schema":"https://github.com/citation-style-language/schema/raw/master/csl-citation.json"}</w:instrText>
      </w:r>
      <w:r>
        <w:fldChar w:fldCharType="separate"/>
      </w:r>
      <w:bookmarkStart w:id="2" w:name="__Fieldmark__3743_3856707969"/>
      <w:r>
        <w:rPr>
          <w:rFonts w:cstheme="minorHAnsi"/>
        </w:rPr>
        <w:t>[</w:t>
      </w:r>
      <w:bookmarkStart w:id="3" w:name="__Fieldmark__7249_881593018"/>
      <w:r>
        <w:rPr>
          <w:rFonts w:cstheme="minorHAnsi"/>
        </w:rPr>
        <w:t>21]</w:t>
      </w:r>
      <w:r>
        <w:fldChar w:fldCharType="end"/>
      </w:r>
      <w:bookmarkEnd w:id="2"/>
      <w:bookmarkEnd w:id="3"/>
      <w:r>
        <w:rPr>
          <w:rFonts w:cstheme="minorHAnsi"/>
          <w:b/>
        </w:rPr>
        <w:t xml:space="preserve">. </w:t>
      </w:r>
      <w:r>
        <w:rPr>
          <w:rFonts w:cstheme="minorHAnsi"/>
        </w:rPr>
        <w:t xml:space="preserve">CLOGs present in at least 90% of strains within a given assemblage and in less than 10% of strains outside of this set (90-10) were selected.  When this yielded less than 10 CLOGs, these cut-offs were lowered to more than 80% of strains within a set and less than 20% outside (cf. column B). These relaxed rules allowed us to overcome possible issues resulting from the clustering of orthologous genes and to take into account clades for which the ecological niche is poorly known. CK numbers, i.e. CLOG numbers in the </w:t>
      </w:r>
      <w:proofErr w:type="spellStart"/>
      <w:r>
        <w:rPr>
          <w:rFonts w:cstheme="minorHAnsi"/>
        </w:rPr>
        <w:t>Cyanorak</w:t>
      </w:r>
      <w:proofErr w:type="spellEnd"/>
      <w:r>
        <w:rPr>
          <w:rFonts w:cstheme="minorHAnsi"/>
        </w:rPr>
        <w:t xml:space="preserve"> v2.1 database, which are cited in the text are highlighted.</w:t>
      </w:r>
    </w:p>
    <w:p w:rsidR="00AC78E1" w:rsidRDefault="0060538E">
      <w:pPr>
        <w:jc w:val="both"/>
      </w:pPr>
      <w:r>
        <w:rPr>
          <w:rFonts w:cstheme="minorHAnsi"/>
          <w:b/>
        </w:rPr>
        <w:lastRenderedPageBreak/>
        <w:t xml:space="preserve">Supplementary Table S5: Coordinates and composition of every genomic island detected in our dataset. </w:t>
      </w:r>
      <w:r>
        <w:rPr>
          <w:rFonts w:cstheme="minorHAnsi"/>
        </w:rPr>
        <w:t xml:space="preserve">The description of each CLOG (CK_XXXXXXXX) is available in Supplementary Table 6 for </w:t>
      </w:r>
      <w:proofErr w:type="spellStart"/>
      <w:r>
        <w:rPr>
          <w:rFonts w:cstheme="minorHAnsi"/>
          <w:i/>
        </w:rPr>
        <w:t>Prochlorococcus</w:t>
      </w:r>
      <w:proofErr w:type="spellEnd"/>
      <w:r>
        <w:rPr>
          <w:rFonts w:cstheme="minorHAnsi"/>
        </w:rPr>
        <w:t xml:space="preserve"> and Supplementary Table 7 for </w:t>
      </w:r>
      <w:proofErr w:type="spellStart"/>
      <w:r>
        <w:rPr>
          <w:rFonts w:cstheme="minorHAnsi"/>
          <w:i/>
        </w:rPr>
        <w:t>Synechococcus</w:t>
      </w:r>
      <w:proofErr w:type="spellEnd"/>
      <w:r>
        <w:rPr>
          <w:rFonts w:cstheme="minorHAnsi"/>
        </w:rPr>
        <w:t>.</w:t>
      </w:r>
    </w:p>
    <w:p w:rsidR="00AC78E1" w:rsidRDefault="0060538E">
      <w:pPr>
        <w:jc w:val="both"/>
      </w:pPr>
      <w:r>
        <w:rPr>
          <w:rFonts w:cstheme="minorHAnsi"/>
          <w:b/>
        </w:rPr>
        <w:t xml:space="preserve">Supplementary Table S6: Composition of modules of </w:t>
      </w:r>
      <w:proofErr w:type="spellStart"/>
      <w:r>
        <w:rPr>
          <w:rFonts w:cstheme="minorHAnsi"/>
          <w:b/>
          <w:i/>
        </w:rPr>
        <w:t>Prochlorococcus</w:t>
      </w:r>
      <w:proofErr w:type="spellEnd"/>
      <w:r>
        <w:rPr>
          <w:rFonts w:cstheme="minorHAnsi"/>
          <w:b/>
        </w:rPr>
        <w:t xml:space="preserve"> genomic islands. </w:t>
      </w:r>
      <w:r>
        <w:rPr>
          <w:rFonts w:cstheme="minorHAnsi"/>
        </w:rPr>
        <w:t>The strain genomic islands comprised in a module are indicated. Numbers in the table indicate the number of copies of a CLOG that were detected as part of an island of this module. Modules cited in the text and in Fig. 6 are highlighted.</w:t>
      </w:r>
    </w:p>
    <w:p w:rsidR="00AC78E1" w:rsidRDefault="0060538E">
      <w:pPr>
        <w:jc w:val="both"/>
        <w:rPr>
          <w:rFonts w:cstheme="minorHAnsi"/>
        </w:rPr>
      </w:pPr>
      <w:r>
        <w:rPr>
          <w:rFonts w:cstheme="minorHAnsi"/>
          <w:b/>
        </w:rPr>
        <w:t xml:space="preserve">Supplementary Table S7: Composition of modules of </w:t>
      </w:r>
      <w:proofErr w:type="spellStart"/>
      <w:r>
        <w:rPr>
          <w:rFonts w:cstheme="minorHAnsi"/>
          <w:b/>
          <w:i/>
        </w:rPr>
        <w:t>Synechococcus</w:t>
      </w:r>
      <w:proofErr w:type="spellEnd"/>
      <w:r>
        <w:rPr>
          <w:rFonts w:cstheme="minorHAnsi"/>
          <w:b/>
        </w:rPr>
        <w:t xml:space="preserve"> genomic islands.</w:t>
      </w:r>
      <w:r>
        <w:rPr>
          <w:rFonts w:cstheme="minorHAnsi"/>
        </w:rPr>
        <w:t xml:space="preserve"> The strain genomic islands comprised in a module are indicated. Numbers in the table indicate the number of copies of a CLOG that were detected as part of an island of this module. Modules cited in the text and in Fig 7 are highlighted.</w:t>
      </w:r>
    </w:p>
    <w:p w:rsidR="00C7582E" w:rsidRPr="00C7582E" w:rsidRDefault="00C7582E">
      <w:pPr>
        <w:jc w:val="both"/>
        <w:rPr>
          <w:rFonts w:cstheme="minorHAnsi"/>
        </w:rPr>
      </w:pPr>
      <w:r>
        <w:rPr>
          <w:rFonts w:cstheme="minorHAnsi"/>
          <w:b/>
        </w:rPr>
        <w:t xml:space="preserve">Supplementary </w:t>
      </w:r>
      <w:r w:rsidRPr="00C7582E">
        <w:rPr>
          <w:rFonts w:cstheme="minorHAnsi"/>
          <w:b/>
        </w:rPr>
        <w:t xml:space="preserve">Table S8: Phyletic pattern of genes involved in phosphorus transport and assimilation in </w:t>
      </w:r>
      <w:proofErr w:type="spellStart"/>
      <w:r w:rsidRPr="00C7582E">
        <w:rPr>
          <w:rFonts w:cstheme="minorHAnsi"/>
          <w:b/>
          <w:i/>
        </w:rPr>
        <w:t>Synechococcus</w:t>
      </w:r>
      <w:proofErr w:type="spellEnd"/>
      <w:r w:rsidRPr="00C7582E">
        <w:rPr>
          <w:rFonts w:cstheme="minorHAnsi"/>
          <w:b/>
        </w:rPr>
        <w:t xml:space="preserve"> and </w:t>
      </w:r>
      <w:proofErr w:type="spellStart"/>
      <w:r w:rsidRPr="00C7582E">
        <w:rPr>
          <w:rFonts w:cstheme="minorHAnsi"/>
          <w:b/>
          <w:i/>
        </w:rPr>
        <w:t>Cyanobium</w:t>
      </w:r>
      <w:proofErr w:type="spellEnd"/>
      <w:r w:rsidRPr="00C7582E">
        <w:rPr>
          <w:rFonts w:cstheme="minorHAnsi"/>
          <w:b/>
        </w:rPr>
        <w:t xml:space="preserve"> spp. </w:t>
      </w:r>
      <w:r w:rsidRPr="00C7582E">
        <w:rPr>
          <w:rFonts w:cstheme="minorHAnsi"/>
        </w:rPr>
        <w:t xml:space="preserve">Numbers in the table indicate the number of copies of a CLOG in a given strain unless specified otherwise. The total number of genes per category is also indicated when </w:t>
      </w:r>
      <w:proofErr w:type="spellStart"/>
      <w:r w:rsidRPr="00C7582E">
        <w:rPr>
          <w:rFonts w:cstheme="minorHAnsi"/>
        </w:rPr>
        <w:t>relevant.</w:t>
      </w:r>
      <w:proofErr w:type="spellEnd"/>
    </w:p>
    <w:p w:rsidR="00AC78E1" w:rsidRDefault="0060538E">
      <w:pPr>
        <w:jc w:val="both"/>
      </w:pPr>
      <w:r>
        <w:rPr>
          <w:rFonts w:cstheme="minorHAnsi"/>
          <w:b/>
        </w:rPr>
        <w:t>Supplementary Table S</w:t>
      </w:r>
      <w:r w:rsidR="00D66407">
        <w:rPr>
          <w:rFonts w:cstheme="minorHAnsi"/>
          <w:b/>
        </w:rPr>
        <w:t>9</w:t>
      </w:r>
      <w:r>
        <w:rPr>
          <w:rFonts w:cstheme="minorHAnsi"/>
          <w:b/>
        </w:rPr>
        <w:t xml:space="preserve">: Proportion of clade-specific amino acid variants observed in every </w:t>
      </w:r>
      <w:proofErr w:type="spellStart"/>
      <w:r>
        <w:rPr>
          <w:rFonts w:cstheme="minorHAnsi"/>
          <w:b/>
          <w:i/>
        </w:rPr>
        <w:t>Synechococcus</w:t>
      </w:r>
      <w:proofErr w:type="spellEnd"/>
      <w:r>
        <w:rPr>
          <w:rFonts w:cstheme="minorHAnsi"/>
          <w:b/>
        </w:rPr>
        <w:t>/</w:t>
      </w:r>
      <w:proofErr w:type="spellStart"/>
      <w:r>
        <w:rPr>
          <w:rFonts w:cstheme="minorHAnsi"/>
          <w:b/>
          <w:i/>
        </w:rPr>
        <w:t>Cyanobium</w:t>
      </w:r>
      <w:proofErr w:type="spellEnd"/>
      <w:r>
        <w:rPr>
          <w:rFonts w:cstheme="minorHAnsi"/>
          <w:b/>
        </w:rPr>
        <w:t xml:space="preserve"> core protein. </w:t>
      </w:r>
      <w:r>
        <w:rPr>
          <w:rFonts w:cstheme="minorHAnsi"/>
        </w:rPr>
        <w:t>For each clade and CLOG, the percentage of specific variants is shown, followed by the CLOG rank based on this percentage. The percentage of specific variants is also indicated for sets of strain</w:t>
      </w:r>
      <w:bookmarkStart w:id="4" w:name="_GoBack"/>
      <w:bookmarkEnd w:id="4"/>
      <w:r>
        <w:rPr>
          <w:rFonts w:cstheme="minorHAnsi"/>
        </w:rPr>
        <w:t>s corresponding to ESTUs co-occurring in the field (as defined by</w:t>
      </w:r>
      <w:r>
        <w:rPr>
          <w:rFonts w:cstheme="minorHAnsi"/>
          <w:i/>
        </w:rPr>
        <w:t xml:space="preserve"> </w:t>
      </w:r>
      <w:r>
        <w:fldChar w:fldCharType="begin"/>
      </w:r>
      <w:r>
        <w:instrText>ADDIN CSL_CITATION {"citationItems":[{"id":"ITEM-1","itemData":{"DOI":"10.1073/pnas.1524865113","ISBN":"1091-6490 (Electronic) 0027-8424 (Linking)","ISSN":"0027-8424","PMID":"27302952","abstract":"Prochlorococcus and Synechococcus are the two most abundant andwidespread phytoplankton in the global ocean. To better under- stand the factors controlling their biogeography, a reference database of the high-resolution taxonomic marker petB, encoding cytochrome b6, was used to recruit reads out of 109 metagenomes from the Tara Oceans expedition. An unsuspected novel genetic diversity was unveiled within both genera, even for the most abundant and well-characterized clades, and 136 divergent petB sequences were successfully assembled from metagenomic reads, significantly enriching the reference database. We then defined Ecologically Sig- nificant Taxonomic Units (ESTUs)—that is, organisms belonging to the same clade and occupying a common oceanic niche. Three major ESTU assemblages were identified along the cruise transect for Prochlorococcus and eight for Synechococcus.Although Prochlorococcus HLIIIA and HLIVA ESTUs codominated in iron- depleted areas of the Pacific Ocean, CRD1 and the yet-to-be cul- tured EnvB were the prevalent Synechococcus clades in this area, with three different CRD1 and EnvB ESTUs occupying distinct eco- logical niches with regard to iron availability and temperature. Sharp community shifts were also observed over short geographic distances—for example, around the Marquesas Islands or between southern Indian and Atlantic Oceans—pointing to a tight correla- tion between ESTU assemblages and specific physico-chemical pa- rameters. Together, this study demonstrates that there is a previously overlooked, ecologically meaningful, fine-scale diver- sity within some currently defined picocyanobacterial ecotypes, bringing novel insights into the ecology, diversity, and biology of the two most abundant phototrophs on Earth.","author":[{"dropping-particle":"","family":"Farrant","given":"Gregory K.","non-dropping-particle":"","parse-names":false,"suffix":""},{"dropping-particle":"","family":"Doré","given":"Hugo","non-dropping-particle":"","parse-names":false,"suffix":""},{"dropping-particle":"","family":"Cornejo-Castillo","given":"Francisco M.","non-dropping-particle":"","parse-names":false,"suffix":""},{"dropping-particle":"","family":"Partensky","given":"Frédéric","non-dropping-particle":"","parse-names":false,"suffix":""},{"dropping-particle":"","family":"Ratin","given":"Morgane","non-dropping-particle":"","parse-names":false,"suffix":""},{"dropping-particle":"","family":"Ostrowski","given":"Martin","non-dropping-particle":"","parse-names":false,"suffix":""},{"dropping-particle":"","family":"Pitt","given":"Frances D.","non-dropping-particle":"","parse-names":false,"suffix":""},{"dropping-particle":"","family":"Wincker","given":"Patrick","non-dropping-particle":"","parse-names":false,"suffix":""},{"dropping-particle":"","family":"Scanlan","given":"David J.","non-dropping-particle":"","parse-names":false,"suffix":""},{"dropping-particle":"","family":"Iudicone","given":"Daniele","non-dropping-particle":"","parse-names":false,"suffix":""},{"dropping-particle":"","family":"Acinas","given":"Silvia G.","non-dropping-particle":"","parse-names":false,"suffix":""},{"dropping-particle":"","family":"Garczarek","given":"Laurence","non-dropping-particle":"","parse-names":false,"suffix":""}],"container-title":"Proceedings of the National Academy of Sciences","id":"ITEM-1","issue":"24","issued":{"date-parts":[["2016","6","2"]]},"page":"E3365-E3374","title":"Delineating ecologically significant taxonomic units from global patterns of marine picocyanobacteria","type":"article-journal","volume":"113"},"uris":["http://www.mendeley.com/documents/?uuid=31bf0cfb-4b57-4a8b-ba7f-166f336b957d"]}],"mendeley":{"formattedCitation":"[21]"},"properties":{"noteIndex":0},"schema":"https://github.com/citation-style-language/schema/raw/master/csl-citation.json"}</w:instrText>
      </w:r>
      <w:r>
        <w:fldChar w:fldCharType="separate"/>
      </w:r>
      <w:bookmarkStart w:id="5" w:name="__Fieldmark__3781_3856707969"/>
      <w:r>
        <w:rPr>
          <w:rFonts w:cstheme="minorHAnsi"/>
        </w:rPr>
        <w:t>[</w:t>
      </w:r>
      <w:bookmarkStart w:id="6" w:name="__Fieldmark__7289_881593018"/>
      <w:r>
        <w:rPr>
          <w:rFonts w:cstheme="minorHAnsi"/>
        </w:rPr>
        <w:t>21]</w:t>
      </w:r>
      <w:r>
        <w:fldChar w:fldCharType="end"/>
      </w:r>
      <w:bookmarkEnd w:id="5"/>
      <w:bookmarkEnd w:id="6"/>
      <w:r>
        <w:rPr>
          <w:rFonts w:cstheme="minorHAnsi"/>
        </w:rPr>
        <w:t>). CLOGs are ordered according to the ratio of the rank observed in the “clades I/IV set" to the median rank of other clades. Note that clades indicated by a star (light grey) contain a single sequenced strain or two quasi-identical strains (e.g. in the case of SC 5.3) and were not considered in the median calculation. CLOGs selected for the “clade I/IV set" are highlighted in yellow (see main text). Gene names cited in the text are highlighted in green.</w:t>
      </w:r>
    </w:p>
    <w:p w:rsidR="00AC78E1" w:rsidRDefault="00AC78E1">
      <w:pPr>
        <w:keepNext/>
        <w:jc w:val="both"/>
        <w:rPr>
          <w:rFonts w:cs="Times New Roman"/>
          <w:szCs w:val="24"/>
        </w:rPr>
      </w:pPr>
    </w:p>
    <w:p w:rsidR="00AC78E1" w:rsidRDefault="00AC78E1">
      <w:pPr>
        <w:keepNext/>
        <w:jc w:val="both"/>
        <w:rPr>
          <w:rFonts w:cs="Times New Roman"/>
          <w:szCs w:val="24"/>
        </w:rPr>
      </w:pPr>
    </w:p>
    <w:p w:rsidR="00AC78E1" w:rsidRDefault="00AC78E1">
      <w:pPr>
        <w:spacing w:before="240"/>
      </w:pPr>
    </w:p>
    <w:sectPr w:rsidR="00AC78E1">
      <w:headerReference w:type="even" r:id="rId8"/>
      <w:headerReference w:type="default" r:id="rId9"/>
      <w:footerReference w:type="even" r:id="rId10"/>
      <w:footerReference w:type="default" r:id="rId11"/>
      <w:headerReference w:type="first" r:id="rId12"/>
      <w:pgSz w:w="12240" w:h="15840"/>
      <w:pgMar w:top="1138" w:right="1181" w:bottom="1138" w:left="1282"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576C" w:rsidRDefault="00CE576C">
      <w:pPr>
        <w:spacing w:before="0" w:after="0"/>
      </w:pPr>
      <w:r>
        <w:separator/>
      </w:r>
    </w:p>
  </w:endnote>
  <w:endnote w:type="continuationSeparator" w:id="0">
    <w:p w:rsidR="00CE576C" w:rsidRDefault="00CE576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8E1" w:rsidRDefault="0060538E">
    <w:pPr>
      <w:rPr>
        <w:color w:val="C00000"/>
        <w:szCs w:val="24"/>
      </w:rPr>
    </w:pPr>
    <w:r>
      <w:rPr>
        <w:noProof/>
        <w:color w:val="C00000"/>
        <w:szCs w:val="24"/>
      </w:rPr>
      <mc:AlternateContent>
        <mc:Choice Requires="wps">
          <w:drawing>
            <wp:anchor distT="0" distB="0" distL="114300" distR="114300" simplePos="0" relativeHeight="3" behindDoc="1" locked="0" layoutInCell="1" allowOverlap="1" wp14:anchorId="382EAD14">
              <wp:simplePos x="0" y="0"/>
              <wp:positionH relativeFrom="margin">
                <wp:align>right</wp:align>
              </wp:positionH>
              <wp:positionV relativeFrom="paragraph">
                <wp:posOffset>635</wp:posOffset>
              </wp:positionV>
              <wp:extent cx="1509395" cy="433705"/>
              <wp:effectExtent l="0" t="0" r="0" b="0"/>
              <wp:wrapNone/>
              <wp:docPr id="2" name="Text Box 1"/>
              <wp:cNvGraphicFramePr/>
              <a:graphic xmlns:a="http://schemas.openxmlformats.org/drawingml/2006/main">
                <a:graphicData uri="http://schemas.microsoft.com/office/word/2010/wordprocessingShape">
                  <wps:wsp>
                    <wps:cNvSpPr/>
                    <wps:spPr>
                      <a:xfrm>
                        <a:off x="0" y="0"/>
                        <a:ext cx="1508760" cy="433080"/>
                      </a:xfrm>
                      <a:prstGeom prst="rect">
                        <a:avLst/>
                      </a:prstGeom>
                      <a:noFill/>
                      <a:ln w="6480">
                        <a:noFill/>
                      </a:ln>
                    </wps:spPr>
                    <wps:style>
                      <a:lnRef idx="0">
                        <a:scrgbClr r="0" g="0" b="0"/>
                      </a:lnRef>
                      <a:fillRef idx="0">
                        <a:scrgbClr r="0" g="0" b="0"/>
                      </a:fillRef>
                      <a:effectRef idx="0">
                        <a:scrgbClr r="0" g="0" b="0"/>
                      </a:effectRef>
                      <a:fontRef idx="minor"/>
                    </wps:style>
                    <wps:txbx>
                      <w:txbxContent>
                        <w:p w:rsidR="00AC78E1" w:rsidRDefault="0060538E">
                          <w:pPr>
                            <w:pStyle w:val="Contenudecadre"/>
                            <w:jc w:val="right"/>
                          </w:pPr>
                          <w:r>
                            <w:rPr>
                              <w:color w:val="000000" w:themeColor="text1"/>
                              <w:szCs w:val="40"/>
                            </w:rPr>
                            <w:fldChar w:fldCharType="begin"/>
                          </w:r>
                          <w:r>
                            <w:rPr>
                              <w:szCs w:val="40"/>
                            </w:rPr>
                            <w:instrText>PAGE \* ARABIC</w:instrText>
                          </w:r>
                          <w:r>
                            <w:rPr>
                              <w:szCs w:val="40"/>
                            </w:rPr>
                            <w:fldChar w:fldCharType="separate"/>
                          </w:r>
                          <w:r w:rsidR="00C7582E">
                            <w:rPr>
                              <w:noProof/>
                              <w:szCs w:val="40"/>
                            </w:rPr>
                            <w:t>2</w:t>
                          </w:r>
                          <w:r>
                            <w:rPr>
                              <w:szCs w:val="40"/>
                            </w:rPr>
                            <w:fldChar w:fldCharType="end"/>
                          </w:r>
                        </w:p>
                      </w:txbxContent>
                    </wps:txbx>
                    <wps:bodyPr>
                      <a:prstTxWarp prst="textNoShape">
                        <a:avLst/>
                      </a:prstTxWarp>
                      <a:spAutoFit/>
                    </wps:bodyPr>
                  </wps:wsp>
                </a:graphicData>
              </a:graphic>
            </wp:anchor>
          </w:drawing>
        </mc:Choice>
        <mc:Fallback>
          <w:pict>
            <v:rect w14:anchorId="382EAD14" id="Text Box 1" o:spid="_x0000_s1026" style="position:absolute;margin-left:67.65pt;margin-top:.05pt;width:118.85pt;height:34.15pt;z-index:-503316477;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" filled="f" stroked="f" strokeweight=".18mm">
              <v:textbox style="mso-fit-shape-to-text:t">
                <w:txbxContent>
                  <w:p w:rsidR="00AC78E1" w:rsidRDefault="0060538E">
                    <w:pPr>
                      <w:pStyle w:val="Contenudecadre"/>
                      <w:jc w:val="right"/>
                    </w:pPr>
                    <w:r>
                      <w:rPr>
                        <w:color w:val="000000" w:themeColor="text1"/>
                        <w:szCs w:val="40"/>
                      </w:rPr>
                      <w:fldChar w:fldCharType="begin"/>
                    </w:r>
                    <w:r>
                      <w:rPr>
                        <w:szCs w:val="40"/>
                      </w:rPr>
                      <w:instrText>PAGE \* ARABIC</w:instrText>
                    </w:r>
                    <w:r>
                      <w:rPr>
                        <w:szCs w:val="40"/>
                      </w:rPr>
                      <w:fldChar w:fldCharType="separate"/>
                    </w:r>
                    <w:r w:rsidR="00C7582E">
                      <w:rPr>
                        <w:noProof/>
                        <w:szCs w:val="40"/>
                      </w:rPr>
                      <w:t>2</w:t>
                    </w:r>
                    <w:r>
                      <w:rPr>
                        <w:szCs w:val="40"/>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8E1" w:rsidRDefault="0060538E">
    <w:pPr>
      <w:rPr>
        <w:b/>
        <w:sz w:val="20"/>
        <w:szCs w:val="24"/>
      </w:rPr>
    </w:pPr>
    <w:r>
      <w:rPr>
        <w:b/>
        <w:noProof/>
        <w:sz w:val="20"/>
        <w:szCs w:val="24"/>
      </w:rPr>
      <mc:AlternateContent>
        <mc:Choice Requires="wps">
          <w:drawing>
            <wp:anchor distT="0" distB="0" distL="114300" distR="114300" simplePos="0" relativeHeight="2" behindDoc="1" locked="0" layoutInCell="1" allowOverlap="1" wp14:anchorId="70F9F55F">
              <wp:simplePos x="0" y="0"/>
              <wp:positionH relativeFrom="margin">
                <wp:align>right</wp:align>
              </wp:positionH>
              <wp:positionV relativeFrom="paragraph">
                <wp:posOffset>635</wp:posOffset>
              </wp:positionV>
              <wp:extent cx="1509395" cy="433705"/>
              <wp:effectExtent l="0" t="0" r="0" b="0"/>
              <wp:wrapNone/>
              <wp:docPr id="4" name="Text Box 56"/>
              <wp:cNvGraphicFramePr/>
              <a:graphic xmlns:a="http://schemas.openxmlformats.org/drawingml/2006/main">
                <a:graphicData uri="http://schemas.microsoft.com/office/word/2010/wordprocessingShape">
                  <wps:wsp>
                    <wps:cNvSpPr/>
                    <wps:spPr>
                      <a:xfrm>
                        <a:off x="0" y="0"/>
                        <a:ext cx="1508760" cy="433080"/>
                      </a:xfrm>
                      <a:prstGeom prst="rect">
                        <a:avLst/>
                      </a:prstGeom>
                      <a:noFill/>
                      <a:ln w="6480">
                        <a:noFill/>
                      </a:ln>
                    </wps:spPr>
                    <wps:style>
                      <a:lnRef idx="0">
                        <a:scrgbClr r="0" g="0" b="0"/>
                      </a:lnRef>
                      <a:fillRef idx="0">
                        <a:scrgbClr r="0" g="0" b="0"/>
                      </a:fillRef>
                      <a:effectRef idx="0">
                        <a:scrgbClr r="0" g="0" b="0"/>
                      </a:effectRef>
                      <a:fontRef idx="minor"/>
                    </wps:style>
                    <wps:txbx>
                      <w:txbxContent>
                        <w:p w:rsidR="00AC78E1" w:rsidRDefault="0060538E">
                          <w:pPr>
                            <w:pStyle w:val="Contenudecadre"/>
                            <w:jc w:val="right"/>
                          </w:pPr>
                          <w:r>
                            <w:rPr>
                              <w:color w:val="000000" w:themeColor="text1"/>
                              <w:szCs w:val="40"/>
                            </w:rPr>
                            <w:fldChar w:fldCharType="begin"/>
                          </w:r>
                          <w:r>
                            <w:rPr>
                              <w:szCs w:val="40"/>
                            </w:rPr>
                            <w:instrText>PAGE \* ARABIC</w:instrText>
                          </w:r>
                          <w:r>
                            <w:rPr>
                              <w:szCs w:val="40"/>
                            </w:rPr>
                            <w:fldChar w:fldCharType="separate"/>
                          </w:r>
                          <w:r w:rsidR="00C7582E">
                            <w:rPr>
                              <w:noProof/>
                              <w:szCs w:val="40"/>
                            </w:rPr>
                            <w:t>3</w:t>
                          </w:r>
                          <w:r>
                            <w:rPr>
                              <w:szCs w:val="40"/>
                            </w:rPr>
                            <w:fldChar w:fldCharType="end"/>
                          </w:r>
                        </w:p>
                      </w:txbxContent>
                    </wps:txbx>
                    <wps:bodyPr>
                      <a:prstTxWarp prst="textNoShape">
                        <a:avLst/>
                      </a:prstTxWarp>
                      <a:spAutoFit/>
                    </wps:bodyPr>
                  </wps:wsp>
                </a:graphicData>
              </a:graphic>
            </wp:anchor>
          </w:drawing>
        </mc:Choice>
        <mc:Fallback>
          <w:pict>
            <v:rect w14:anchorId="70F9F55F" id="Text Box 56" o:spid="_x0000_s1027" style="position:absolute;margin-left:67.65pt;margin-top:.05pt;width:118.85pt;height:34.15pt;z-index:-50331647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" filled="f" stroked="f" strokeweight=".18mm">
              <v:textbox style="mso-fit-shape-to-text:t">
                <w:txbxContent>
                  <w:p w:rsidR="00AC78E1" w:rsidRDefault="0060538E">
                    <w:pPr>
                      <w:pStyle w:val="Contenudecadre"/>
                      <w:jc w:val="right"/>
                    </w:pPr>
                    <w:r>
                      <w:rPr>
                        <w:color w:val="000000" w:themeColor="text1"/>
                        <w:szCs w:val="40"/>
                      </w:rPr>
                      <w:fldChar w:fldCharType="begin"/>
                    </w:r>
                    <w:r>
                      <w:rPr>
                        <w:szCs w:val="40"/>
                      </w:rPr>
                      <w:instrText>PAGE \* ARABIC</w:instrText>
                    </w:r>
                    <w:r>
                      <w:rPr>
                        <w:szCs w:val="40"/>
                      </w:rPr>
                      <w:fldChar w:fldCharType="separate"/>
                    </w:r>
                    <w:r w:rsidR="00C7582E">
                      <w:rPr>
                        <w:noProof/>
                        <w:szCs w:val="40"/>
                      </w:rPr>
                      <w:t>3</w:t>
                    </w:r>
                    <w:r>
                      <w:rPr>
                        <w:szCs w:val="40"/>
                      </w:rP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576C" w:rsidRDefault="00CE576C">
      <w:pPr>
        <w:spacing w:before="0" w:after="0"/>
      </w:pPr>
      <w:r>
        <w:separator/>
      </w:r>
    </w:p>
  </w:footnote>
  <w:footnote w:type="continuationSeparator" w:id="0">
    <w:p w:rsidR="00CE576C" w:rsidRDefault="00CE576C">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8E1" w:rsidRDefault="0060538E">
    <w:pPr>
      <w:rPr>
        <w:rFonts w:cs="Times New Roman"/>
      </w:rPr>
    </w:pPr>
    <w:r>
      <w:rPr>
        <w:rFonts w:cs="Times New Roman"/>
      </w:rPr>
      <w:tab/>
    </w:r>
    <w:r>
      <w:rPr>
        <w:rFonts w:cs="Times New Roman"/>
      </w:rPr>
      <w:tab/>
      <w:t>Supplementary Material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8E1" w:rsidRDefault="00AC78E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8E1" w:rsidRDefault="0060538E">
    <w:r>
      <w:rPr>
        <w:noProof/>
      </w:rPr>
      <w:drawing>
        <wp:inline distT="0" distB="0" distL="0" distR="0">
          <wp:extent cx="1382395" cy="497205"/>
          <wp:effectExtent l="0" t="0" r="0" b="0"/>
          <wp:docPr id="1"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stretch>
                    <a:fillRect/>
                  </a:stretch>
                </pic:blipFill>
                <pic:spPr bwMode="auto">
                  <a:xfrm>
                    <a:off x="0" y="0"/>
                    <a:ext cx="1382395" cy="497205"/>
                  </a:xfrm>
                  <a:prstGeom prst="rect">
                    <a:avLst/>
                  </a:prstGeom>
                </pic:spPr>
              </pic:pic>
            </a:graphicData>
          </a:graphic>
        </wp:inline>
      </w:drawing>
    </w:r>
    <w:r>
      <w:rPr>
        <w:b/>
      </w:rP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7BCB"/>
    <w:multiLevelType w:val="multilevel"/>
    <w:tmpl w:val="B7361AE8"/>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567"/>
        </w:tabs>
        <w:ind w:left="567" w:hanging="567"/>
      </w:pPr>
    </w:lvl>
    <w:lvl w:ilvl="3">
      <w:start w:val="1"/>
      <w:numFmt w:val="decimal"/>
      <w:pStyle w:val="Heading4"/>
      <w:lvlText w:val="%1.%2.%3.%4"/>
      <w:lvlJc w:val="left"/>
      <w:pPr>
        <w:tabs>
          <w:tab w:val="num" w:pos="567"/>
        </w:tabs>
        <w:ind w:left="567" w:hanging="567"/>
      </w:pPr>
    </w:lvl>
    <w:lvl w:ilvl="4">
      <w:start w:val="1"/>
      <w:numFmt w:val="decimal"/>
      <w:pStyle w:val="Heading5"/>
      <w:lvlText w:val="%1.%2.%3.%4.%5"/>
      <w:lvlJc w:val="left"/>
      <w:pPr>
        <w:tabs>
          <w:tab w:val="num" w:pos="567"/>
        </w:tabs>
        <w:ind w:left="567" w:hanging="567"/>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74441DD"/>
    <w:multiLevelType w:val="multilevel"/>
    <w:tmpl w:val="E41CC4EE"/>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567"/>
        </w:tabs>
        <w:ind w:left="567" w:hanging="567"/>
      </w:pPr>
    </w:lvl>
    <w:lvl w:ilvl="3">
      <w:start w:val="1"/>
      <w:numFmt w:val="decimal"/>
      <w:lvlText w:val="%1.%2.%3.%4"/>
      <w:lvlJc w:val="left"/>
      <w:pPr>
        <w:tabs>
          <w:tab w:val="num" w:pos="567"/>
        </w:tabs>
        <w:ind w:left="567" w:hanging="567"/>
      </w:pPr>
    </w:lvl>
    <w:lvl w:ilvl="4">
      <w:start w:val="1"/>
      <w:numFmt w:val="decimal"/>
      <w:lvlText w:val="%1.%2.%3.%4.%5"/>
      <w:lvlJc w:val="left"/>
      <w:pPr>
        <w:tabs>
          <w:tab w:val="num" w:pos="567"/>
        </w:tabs>
        <w:ind w:left="567" w:hanging="567"/>
      </w:pPr>
    </w:lvl>
    <w:lvl w:ilvl="5">
      <w:start w:val="1"/>
      <w:numFmt w:val="lowerRoman"/>
      <w:lvlText w:val="%6."/>
      <w:lvlJc w:val="right"/>
      <w:pPr>
        <w:tabs>
          <w:tab w:val="num" w:pos="567"/>
        </w:tabs>
        <w:ind w:left="567" w:hanging="567"/>
      </w:pPr>
    </w:lvl>
    <w:lvl w:ilvl="6">
      <w:start w:val="1"/>
      <w:numFmt w:val="decimal"/>
      <w:lvlText w:val="%7."/>
      <w:lvlJc w:val="left"/>
      <w:pPr>
        <w:tabs>
          <w:tab w:val="num" w:pos="567"/>
        </w:tabs>
        <w:ind w:left="567" w:hanging="567"/>
      </w:pPr>
    </w:lvl>
    <w:lvl w:ilvl="7">
      <w:start w:val="1"/>
      <w:numFmt w:val="lowerLetter"/>
      <w:lvlText w:val="%8."/>
      <w:lvlJc w:val="left"/>
      <w:pPr>
        <w:tabs>
          <w:tab w:val="num" w:pos="567"/>
        </w:tabs>
        <w:ind w:left="567" w:hanging="567"/>
      </w:pPr>
    </w:lvl>
    <w:lvl w:ilvl="8">
      <w:start w:val="1"/>
      <w:numFmt w:val="lowerRoman"/>
      <w:lvlText w:val="%9."/>
      <w:lvlJc w:val="right"/>
      <w:pPr>
        <w:tabs>
          <w:tab w:val="num" w:pos="567"/>
        </w:tabs>
        <w:ind w:left="567" w:hanging="567"/>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trackRevision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8E1"/>
    <w:rsid w:val="00221311"/>
    <w:rsid w:val="0060538E"/>
    <w:rsid w:val="00AC78E1"/>
    <w:rsid w:val="00C7582E"/>
    <w:rsid w:val="00CE576C"/>
    <w:rsid w:val="00D66407"/>
    <w:rsid w:val="00DD48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C631"/>
  <w15:docId w15:val="{92711A61-2054-4CC7-95FA-42357197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715"/>
    <w:pPr>
      <w:spacing w:before="120" w:after="240"/>
    </w:pPr>
    <w:rPr>
      <w:rFonts w:ascii="Times New Roman" w:hAnsi="Times New Roman"/>
      <w:sz w:val="24"/>
    </w:rPr>
  </w:style>
  <w:style w:type="paragraph" w:styleId="Heading1">
    <w:name w:val="heading 1"/>
    <w:next w:val="Normal"/>
    <w:link w:val="Heading1Char"/>
    <w:uiPriority w:val="2"/>
    <w:qFormat/>
    <w:rsid w:val="00AB6715"/>
    <w:pPr>
      <w:widowControl w:val="0"/>
      <w:numPr>
        <w:numId w:val="1"/>
      </w:numPr>
      <w:spacing w:before="240"/>
      <w:outlineLvl w:val="0"/>
    </w:pPr>
    <w:rPr>
      <w:b/>
      <w:sz w:val="24"/>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qFormat/>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qFormat/>
    <w:rsid w:val="00AB6715"/>
    <w:rPr>
      <w:rFonts w:ascii="Times New Roman" w:eastAsia="Cambria" w:hAnsi="Times New Roman" w:cs="Times New Roman"/>
      <w:b/>
      <w:sz w:val="24"/>
      <w:szCs w:val="24"/>
    </w:rPr>
  </w:style>
  <w:style w:type="character" w:customStyle="1" w:styleId="SubtitleChar">
    <w:name w:val="Subtitle Char"/>
    <w:basedOn w:val="DefaultParagraphFont"/>
    <w:link w:val="Subtitle"/>
    <w:uiPriority w:val="99"/>
    <w:qFormat/>
    <w:rsid w:val="00AB6715"/>
    <w:rPr>
      <w:rFonts w:ascii="Times New Roman" w:hAnsi="Times New Roman" w:cs="Times New Roman"/>
      <w:b/>
      <w:sz w:val="24"/>
      <w:szCs w:val="24"/>
    </w:rPr>
  </w:style>
  <w:style w:type="character" w:customStyle="1" w:styleId="BalloonTextChar">
    <w:name w:val="Balloon Text Char"/>
    <w:basedOn w:val="DefaultParagraphFont"/>
    <w:link w:val="BalloonText"/>
    <w:uiPriority w:val="99"/>
    <w:semiHidden/>
    <w:qFormat/>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character" w:styleId="CommentReference">
    <w:name w:val="annotation reference"/>
    <w:basedOn w:val="DefaultParagraphFont"/>
    <w:uiPriority w:val="99"/>
    <w:semiHidden/>
    <w:unhideWhenUsed/>
    <w:qFormat/>
    <w:rsid w:val="00AB6715"/>
    <w:rPr>
      <w:sz w:val="16"/>
      <w:szCs w:val="16"/>
    </w:rPr>
  </w:style>
  <w:style w:type="character" w:customStyle="1" w:styleId="CommentTextChar">
    <w:name w:val="Comment Text Char"/>
    <w:basedOn w:val="DefaultParagraphFont"/>
    <w:link w:val="CommentText"/>
    <w:uiPriority w:val="99"/>
    <w:semiHidden/>
    <w:qFormat/>
    <w:rsid w:val="00AB6715"/>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sid w:val="00AB6715"/>
    <w:rPr>
      <w:rFonts w:ascii="Times New Roman" w:hAnsi="Times New Roman"/>
      <w:b/>
      <w:bCs/>
      <w:sz w:val="20"/>
      <w:szCs w:val="20"/>
    </w:rPr>
  </w:style>
  <w:style w:type="character" w:customStyle="1" w:styleId="Accentuation">
    <w:name w:val="Accentuation"/>
    <w:basedOn w:val="DefaultParagraphFont"/>
    <w:uiPriority w:val="20"/>
    <w:qFormat/>
    <w:rsid w:val="00AB6715"/>
    <w:rPr>
      <w:rFonts w:ascii="Times New Roman" w:hAnsi="Times New Roman"/>
      <w:i/>
      <w:iCs/>
    </w:rPr>
  </w:style>
  <w:style w:type="character" w:customStyle="1" w:styleId="Ancredenotedefin">
    <w:name w:val="Ancre de note de fin"/>
    <w:rPr>
      <w:vertAlign w:val="superscript"/>
    </w:rPr>
  </w:style>
  <w:style w:type="character" w:customStyle="1" w:styleId="EndnoteCharacters">
    <w:name w:val="Endnote Characters"/>
    <w:basedOn w:val="DefaultParagraphFont"/>
    <w:uiPriority w:val="99"/>
    <w:semiHidden/>
    <w:unhideWhenUsed/>
    <w:qFormat/>
    <w:rsid w:val="00AB6715"/>
    <w:rPr>
      <w:vertAlign w:val="superscript"/>
    </w:rPr>
  </w:style>
  <w:style w:type="character" w:customStyle="1" w:styleId="EndnoteTextChar">
    <w:name w:val="Endnote Text Char"/>
    <w:basedOn w:val="DefaultParagraphFont"/>
    <w:link w:val="EndnoteText"/>
    <w:uiPriority w:val="99"/>
    <w:semiHidden/>
    <w:qFormat/>
    <w:rsid w:val="00AB6715"/>
    <w:rPr>
      <w:rFonts w:ascii="Times New Roman" w:hAnsi="Times New Roman"/>
      <w:sz w:val="20"/>
      <w:szCs w:val="20"/>
    </w:rPr>
  </w:style>
  <w:style w:type="character" w:styleId="FollowedHyperlink">
    <w:name w:val="FollowedHyperlink"/>
    <w:basedOn w:val="DefaultParagraphFont"/>
    <w:uiPriority w:val="99"/>
    <w:semiHidden/>
    <w:unhideWhenUsed/>
    <w:qFormat/>
    <w:rsid w:val="00AB6715"/>
    <w:rPr>
      <w:color w:val="800080" w:themeColor="followedHyperlink"/>
      <w:u w:val="single"/>
    </w:rPr>
  </w:style>
  <w:style w:type="character" w:customStyle="1" w:styleId="FooterChar">
    <w:name w:val="Footer Char"/>
    <w:basedOn w:val="DefaultParagraphFont"/>
    <w:link w:val="Footer"/>
    <w:uiPriority w:val="99"/>
    <w:qFormat/>
    <w:rsid w:val="00AB6715"/>
    <w:rPr>
      <w:rFonts w:ascii="Times New Roman" w:hAnsi="Times New Roman"/>
      <w:sz w:val="24"/>
    </w:rPr>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uiPriority w:val="99"/>
    <w:semiHidden/>
    <w:unhideWhenUsed/>
    <w:qFormat/>
    <w:rsid w:val="00AB6715"/>
    <w:rPr>
      <w:vertAlign w:val="superscript"/>
    </w:rPr>
  </w:style>
  <w:style w:type="character" w:customStyle="1" w:styleId="FootnoteTextChar">
    <w:name w:val="Footnote Text Char"/>
    <w:basedOn w:val="DefaultParagraphFont"/>
    <w:link w:val="FootnoteText"/>
    <w:uiPriority w:val="99"/>
    <w:semiHidden/>
    <w:qFormat/>
    <w:rsid w:val="00AB6715"/>
    <w:rPr>
      <w:rFonts w:ascii="Times New Roman" w:hAnsi="Times New Roman"/>
      <w:sz w:val="20"/>
      <w:szCs w:val="20"/>
    </w:rPr>
  </w:style>
  <w:style w:type="character" w:customStyle="1" w:styleId="HeaderChar">
    <w:name w:val="Header Char"/>
    <w:basedOn w:val="DefaultParagraphFont"/>
    <w:link w:val="Header"/>
    <w:uiPriority w:val="99"/>
    <w:qFormat/>
    <w:rsid w:val="00AB6715"/>
    <w:rPr>
      <w:rFonts w:ascii="Times New Roman" w:hAnsi="Times New Roman"/>
      <w:b/>
      <w:sz w:val="24"/>
    </w:rPr>
  </w:style>
  <w:style w:type="character" w:customStyle="1" w:styleId="LienInternet">
    <w:name w:val="Lien Internet"/>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qFormat/>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qFormat/>
    <w:rsid w:val="00AB6715"/>
  </w:style>
  <w:style w:type="character" w:customStyle="1" w:styleId="Heading3Char">
    <w:name w:val="Heading 3 Char"/>
    <w:basedOn w:val="DefaultParagraphFont"/>
    <w:link w:val="Heading3"/>
    <w:uiPriority w:val="2"/>
    <w:qFormat/>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qFormat/>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qFormat/>
    <w:rsid w:val="00AB6715"/>
    <w:rPr>
      <w:rFonts w:ascii="Times New Roman" w:eastAsiaTheme="majorEastAsia" w:hAnsi="Times New Roman" w:cstheme="majorBidi"/>
      <w:b/>
      <w:iCs/>
      <w:sz w:val="24"/>
      <w:szCs w:val="24"/>
    </w:rPr>
  </w:style>
  <w:style w:type="character" w:customStyle="1" w:styleId="QuoteChar">
    <w:name w:val="Quote Char"/>
    <w:basedOn w:val="DefaultParagraphFont"/>
    <w:link w:val="Quote"/>
    <w:uiPriority w:val="29"/>
    <w:qFormat/>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character" w:customStyle="1" w:styleId="TitleChar">
    <w:name w:val="Title Char"/>
    <w:basedOn w:val="DefaultParagraphFont"/>
    <w:link w:val="Title"/>
    <w:qFormat/>
    <w:rsid w:val="00AB6715"/>
    <w:rPr>
      <w:rFonts w:ascii="Times New Roman" w:hAnsi="Times New Roman" w:cs="Times New Roman"/>
      <w:b/>
      <w:sz w:val="32"/>
      <w:szCs w:val="32"/>
    </w:rPr>
  </w:style>
  <w:style w:type="character" w:customStyle="1" w:styleId="ListLabel1">
    <w:name w:val="ListLabel 1"/>
    <w:qFormat/>
    <w:rPr>
      <w:b/>
      <w:lang w:val="en-GB"/>
    </w:rPr>
  </w:style>
  <w:style w:type="character" w:customStyle="1" w:styleId="ListLabel2">
    <w:name w:val="ListLabel 2"/>
    <w:qFormat/>
    <w:rPr>
      <w:b/>
      <w:i w:val="0"/>
      <w:sz w:val="24"/>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b/>
      <w:lang w:val="en-GB"/>
    </w:rPr>
  </w:style>
  <w:style w:type="character" w:customStyle="1" w:styleId="ListLabel10">
    <w:name w:val="ListLabel 10"/>
    <w:qFormat/>
    <w:rPr>
      <w:b/>
      <w:i w:val="0"/>
      <w:sz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style>
  <w:style w:type="paragraph" w:customStyle="1" w:styleId="Titre">
    <w:name w:val="Titre"/>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uiPriority w:val="35"/>
    <w:unhideWhenUsed/>
    <w:qFormat/>
    <w:rsid w:val="00AB6715"/>
    <w:pPr>
      <w:keepNext/>
    </w:pPr>
    <w:rPr>
      <w:rFonts w:cs="Times New Roman"/>
      <w:b/>
      <w:bCs/>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paragraph" w:customStyle="1" w:styleId="AuthorList">
    <w:name w:val="Author List"/>
    <w:basedOn w:val="Subtitle"/>
    <w:next w:val="Normal"/>
    <w:uiPriority w:val="1"/>
    <w:qFormat/>
    <w:rsid w:val="00AB6715"/>
  </w:style>
  <w:style w:type="paragraph" w:styleId="BalloonText">
    <w:name w:val="Balloon Text"/>
    <w:basedOn w:val="Normal"/>
    <w:link w:val="BalloonTextChar"/>
    <w:uiPriority w:val="99"/>
    <w:semiHidden/>
    <w:unhideWhenUsed/>
    <w:qFormat/>
    <w:rsid w:val="00AB6715"/>
    <w:pPr>
      <w:spacing w:after="0"/>
    </w:pPr>
    <w:rPr>
      <w:rFonts w:ascii="Tahoma" w:hAnsi="Tahoma" w:cs="Tahoma"/>
      <w:sz w:val="16"/>
      <w:szCs w:val="16"/>
    </w:rPr>
  </w:style>
  <w:style w:type="paragraph" w:styleId="NoSpacing">
    <w:name w:val="No Spacing"/>
    <w:uiPriority w:val="99"/>
    <w:unhideWhenUsed/>
    <w:qFormat/>
    <w:rsid w:val="00AB6715"/>
    <w:rPr>
      <w:rFonts w:ascii="Times New Roman" w:hAnsi="Times New Roman"/>
      <w:sz w:val="24"/>
    </w:rPr>
  </w:style>
  <w:style w:type="paragraph" w:styleId="CommentText">
    <w:name w:val="annotation text"/>
    <w:basedOn w:val="Normal"/>
    <w:link w:val="CommentTextChar"/>
    <w:uiPriority w:val="99"/>
    <w:semiHidden/>
    <w:unhideWhenUsed/>
    <w:qFormat/>
    <w:rsid w:val="00AB6715"/>
    <w:rPr>
      <w:sz w:val="20"/>
      <w:szCs w:val="20"/>
    </w:rPr>
  </w:style>
  <w:style w:type="paragraph" w:styleId="CommentSubject">
    <w:name w:val="annotation subject"/>
    <w:basedOn w:val="CommentText"/>
    <w:link w:val="CommentSubjectChar"/>
    <w:uiPriority w:val="99"/>
    <w:semiHidden/>
    <w:unhideWhenUsed/>
    <w:qFormat/>
    <w:rsid w:val="00AB6715"/>
    <w:rPr>
      <w:b/>
      <w:bCs/>
    </w:rPr>
  </w:style>
  <w:style w:type="paragraph" w:styleId="EndnoteText">
    <w:name w:val="endnote text"/>
    <w:basedOn w:val="Normal"/>
    <w:link w:val="EndnoteTextChar"/>
    <w:uiPriority w:val="99"/>
    <w:semiHidden/>
    <w:unhideWhenUsed/>
    <w:rsid w:val="00AB6715"/>
    <w:pPr>
      <w:spacing w:after="0"/>
    </w:pPr>
    <w:rPr>
      <w:sz w:val="20"/>
      <w:szCs w:val="20"/>
    </w:rPr>
  </w:style>
  <w:style w:type="paragraph" w:styleId="Footer">
    <w:name w:val="footer"/>
    <w:basedOn w:val="Normal"/>
    <w:link w:val="FooterChar"/>
    <w:uiPriority w:val="99"/>
    <w:unhideWhenUsed/>
    <w:rsid w:val="00AB6715"/>
    <w:pPr>
      <w:tabs>
        <w:tab w:val="center" w:pos="4844"/>
        <w:tab w:val="right" w:pos="9689"/>
      </w:tabs>
      <w:spacing w:after="0"/>
    </w:pPr>
  </w:style>
  <w:style w:type="paragraph" w:styleId="FootnoteText">
    <w:name w:val="footnote text"/>
    <w:basedOn w:val="Normal"/>
    <w:link w:val="FootnoteTextChar"/>
    <w:uiPriority w:val="99"/>
    <w:semiHidden/>
    <w:unhideWhenUsed/>
    <w:rsid w:val="00AB6715"/>
    <w:pPr>
      <w:spacing w:after="0"/>
    </w:pPr>
    <w:rPr>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paragraph" w:styleId="ListParagraph">
    <w:name w:val="List Paragraph"/>
    <w:basedOn w:val="Normal"/>
    <w:uiPriority w:val="3"/>
    <w:qFormat/>
    <w:rsid w:val="00AB6715"/>
    <w:pPr>
      <w:contextualSpacing/>
    </w:pPr>
    <w:rPr>
      <w:rFonts w:eastAsia="Cambria" w:cs="Times New Roman"/>
      <w:szCs w:val="24"/>
    </w:rPr>
  </w:style>
  <w:style w:type="paragraph" w:styleId="NormalWeb">
    <w:name w:val="Normal (Web)"/>
    <w:basedOn w:val="Normal"/>
    <w:uiPriority w:val="99"/>
    <w:unhideWhenUsed/>
    <w:qFormat/>
    <w:rsid w:val="00AB6715"/>
    <w:pPr>
      <w:spacing w:beforeAutospacing="1"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paragraph" w:customStyle="1" w:styleId="SupplementaryMaterial">
    <w:name w:val="Supplementary Material"/>
    <w:basedOn w:val="Title"/>
    <w:next w:val="Title"/>
    <w:qFormat/>
    <w:rsid w:val="0001436A"/>
    <w:pPr>
      <w:spacing w:after="120"/>
    </w:pPr>
    <w:rPr>
      <w:i/>
    </w:rPr>
  </w:style>
  <w:style w:type="paragraph" w:customStyle="1" w:styleId="Contenudecadre">
    <w:name w:val="Contenu de cadre"/>
    <w:basedOn w:val="Normal"/>
    <w:qFormat/>
  </w:style>
  <w:style w:type="numbering" w:customStyle="1" w:styleId="Headings">
    <w:name w:val="Headings"/>
    <w:uiPriority w:val="99"/>
    <w:qFormat/>
    <w:rsid w:val="00AB6715"/>
  </w:style>
  <w:style w:type="table" w:styleId="TableGrid">
    <w:name w:val="Table Grid"/>
    <w:basedOn w:val="TableNormal"/>
    <w:uiPriority w:val="59"/>
    <w:rsid w:val="00AB6715"/>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F26186A-5E90-40CD-A33E-65982E620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3458</Words>
  <Characters>19713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 Media SA</dc:creator>
  <dc:description/>
  <cp:lastModifiedBy>Hugo DORE</cp:lastModifiedBy>
  <cp:revision>2</cp:revision>
  <cp:lastPrinted>2013-10-03T12:51:00Z</cp:lastPrinted>
  <dcterms:created xsi:type="dcterms:W3CDTF">2020-07-28T21:17:00Z</dcterms:created>
  <dcterms:modified xsi:type="dcterms:W3CDTF">2020-07-28T21:17:00Z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