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D97C4" w14:textId="342F5D5D" w:rsidR="00FF5E36" w:rsidRDefault="005F3EB3">
      <w:pPr>
        <w:rPr>
          <w:lang w:val="en-US"/>
        </w:rPr>
      </w:pPr>
      <w:r>
        <w:rPr>
          <w:lang w:val="en-US"/>
        </w:rPr>
        <w:t>Exoprotease activity in Osnat’s marine bacteria – 25/3/25</w:t>
      </w:r>
      <w:r w:rsidR="00453993">
        <w:rPr>
          <w:lang w:val="en-US"/>
        </w:rPr>
        <w:t xml:space="preserve"> – finished summarizing 19/06/25</w:t>
      </w:r>
    </w:p>
    <w:p w14:paraId="55B7C3C7" w14:textId="77777777" w:rsidR="005F3EB3" w:rsidRDefault="005F3EB3">
      <w:pPr>
        <w:rPr>
          <w:lang w:val="en-US"/>
        </w:rPr>
      </w:pPr>
    </w:p>
    <w:p w14:paraId="4381EAB9" w14:textId="6FD06716" w:rsidR="005F3EB3" w:rsidRDefault="005F3EB3">
      <w:pPr>
        <w:rPr>
          <w:lang w:val="en-US"/>
        </w:rPr>
      </w:pPr>
      <w:r w:rsidRPr="00736200">
        <w:rPr>
          <w:b/>
          <w:bCs/>
          <w:lang w:val="en-US"/>
        </w:rPr>
        <w:t>Goal:</w:t>
      </w:r>
      <w:r>
        <w:rPr>
          <w:lang w:val="en-US"/>
        </w:rPr>
        <w:t xml:space="preserve"> One of the referees for Osnat’s paper suggested we try to better connect the specific strains we used to the phenotypes</w:t>
      </w:r>
      <w:r w:rsidR="00623B70">
        <w:rPr>
          <w:lang w:val="en-US"/>
        </w:rPr>
        <w:t xml:space="preserve"> of her models</w:t>
      </w:r>
      <w:r>
        <w:rPr>
          <w:lang w:val="en-US"/>
        </w:rPr>
        <w:t xml:space="preserve">. One way of doing this is trying to see whether there is a correlation between exoenzymatic activity of the strains and the predicted activity in the model. To do this, we will focus on </w:t>
      </w:r>
      <w:r w:rsidR="00FD05F1">
        <w:rPr>
          <w:lang w:val="en-US"/>
        </w:rPr>
        <w:t xml:space="preserve">,easuring exproteolytic activity, </w:t>
      </w:r>
      <w:r>
        <w:rPr>
          <w:lang w:val="en-US"/>
        </w:rPr>
        <w:t xml:space="preserve">since this is a mechanism which could transform inaccessible “DON” to accessible “DIN” </w:t>
      </w:r>
      <w:r w:rsidR="00062D5F">
        <w:rPr>
          <w:lang w:val="en-US"/>
        </w:rPr>
        <w:t>(</w:t>
      </w:r>
      <w:r>
        <w:rPr>
          <w:lang w:val="en-US"/>
        </w:rPr>
        <w:t>actually amino acids</w:t>
      </w:r>
      <w:r w:rsidR="00062D5F">
        <w:rPr>
          <w:lang w:val="en-US"/>
        </w:rPr>
        <w:t>)</w:t>
      </w:r>
      <w:r>
        <w:rPr>
          <w:lang w:val="en-US"/>
        </w:rPr>
        <w:t>.</w:t>
      </w:r>
    </w:p>
    <w:p w14:paraId="72912ED5" w14:textId="4CB4E682" w:rsidR="00EC009E" w:rsidRDefault="00EC009E">
      <w:pPr>
        <w:rPr>
          <w:lang w:val="en-US"/>
        </w:rPr>
      </w:pPr>
      <w:r>
        <w:rPr>
          <w:lang w:val="en-US"/>
        </w:rPr>
        <w:t>I chose to use the following substrates:</w:t>
      </w:r>
    </w:p>
    <w:p w14:paraId="240397B2" w14:textId="5AD42C42" w:rsidR="00EC009E" w:rsidRDefault="00183F5A" w:rsidP="00115EF5">
      <w:pPr>
        <w:pStyle w:val="ListParagraph"/>
        <w:numPr>
          <w:ilvl w:val="0"/>
          <w:numId w:val="1"/>
        </w:numPr>
        <w:rPr>
          <w:lang w:val="en-US"/>
        </w:rPr>
      </w:pPr>
      <w:r w:rsidRPr="0044620A">
        <w:rPr>
          <w:b/>
          <w:bCs/>
          <w:lang w:val="en-US"/>
        </w:rPr>
        <w:t>For Leu-aminopeptidase</w:t>
      </w:r>
      <w:r>
        <w:rPr>
          <w:lang w:val="en-US"/>
        </w:rPr>
        <w:t xml:space="preserve">: </w:t>
      </w:r>
      <w:r w:rsidR="00115EF5">
        <w:rPr>
          <w:lang w:val="en-US"/>
        </w:rPr>
        <w:t>Leu-AMc (</w:t>
      </w:r>
      <w:r w:rsidR="00115EF5" w:rsidRPr="00115EF5">
        <w:rPr>
          <w:lang w:val="en-US"/>
        </w:rPr>
        <w:t>L-Leucine-7-amido-4-methylcoumarin hydrochloride</w:t>
      </w:r>
      <w:r w:rsidR="00115EF5">
        <w:rPr>
          <w:lang w:val="en-US"/>
        </w:rPr>
        <w:t xml:space="preserve">, Merck </w:t>
      </w:r>
      <w:r w:rsidR="00115EF5" w:rsidRPr="00115EF5">
        <w:rPr>
          <w:lang w:val="en-US"/>
        </w:rPr>
        <w:t>L2145</w:t>
      </w:r>
      <w:r w:rsidR="00711C51">
        <w:rPr>
          <w:lang w:val="en-US"/>
        </w:rPr>
        <w:t xml:space="preserve"> – note written sometimes as “amino-4” and not amido</w:t>
      </w:r>
      <w:r w:rsidR="00115EF5">
        <w:rPr>
          <w:lang w:val="en-US"/>
        </w:rPr>
        <w:t>)</w:t>
      </w:r>
      <w:r w:rsidR="0029691E">
        <w:rPr>
          <w:lang w:val="en-US"/>
        </w:rPr>
        <w:t>. It has been used to look at Synechococcus ex</w:t>
      </w:r>
      <w:r w:rsidR="00062D5F">
        <w:rPr>
          <w:lang w:val="en-US"/>
        </w:rPr>
        <w:t>o</w:t>
      </w:r>
      <w:r w:rsidR="0029691E">
        <w:rPr>
          <w:lang w:val="en-US"/>
        </w:rPr>
        <w:t xml:space="preserve">peptidase activity </w:t>
      </w:r>
      <w:r w:rsidR="0020775C">
        <w:rPr>
          <w:lang w:val="en-US"/>
        </w:rPr>
        <w:t>(Martinez and Azam, AEM 1993)</w:t>
      </w:r>
      <w:r w:rsidR="006C5C07">
        <w:rPr>
          <w:lang w:val="en-US"/>
        </w:rPr>
        <w:t>, particle-associated activity (</w:t>
      </w:r>
      <w:r w:rsidR="00711C51">
        <w:rPr>
          <w:lang w:val="en-US"/>
        </w:rPr>
        <w:t xml:space="preserve">Smith et al, Nature 1992) and, more recently, in natural samples across latitudes (Balmonte et al, L&amp;O 2021). </w:t>
      </w:r>
    </w:p>
    <w:p w14:paraId="68E92657" w14:textId="78A80723" w:rsidR="00D87F86" w:rsidRDefault="00183F5A" w:rsidP="00115EF5">
      <w:pPr>
        <w:pStyle w:val="ListParagraph"/>
        <w:numPr>
          <w:ilvl w:val="0"/>
          <w:numId w:val="1"/>
        </w:numPr>
        <w:rPr>
          <w:lang w:val="en-US"/>
        </w:rPr>
      </w:pPr>
      <w:r w:rsidRPr="0044620A">
        <w:rPr>
          <w:b/>
          <w:bCs/>
          <w:lang w:val="en-US"/>
        </w:rPr>
        <w:t xml:space="preserve">For endo-acting </w:t>
      </w:r>
      <w:r w:rsidR="000D2BB3" w:rsidRPr="0044620A">
        <w:rPr>
          <w:b/>
          <w:bCs/>
          <w:lang w:val="en-US"/>
        </w:rPr>
        <w:t>chemotrypsins</w:t>
      </w:r>
      <w:r w:rsidR="000D2BB3">
        <w:rPr>
          <w:lang w:val="en-US"/>
        </w:rPr>
        <w:t xml:space="preserve">: </w:t>
      </w:r>
      <w:r w:rsidR="000D2BB3" w:rsidRPr="000D2BB3">
        <w:rPr>
          <w:lang w:val="en-US"/>
        </w:rPr>
        <w:t>ALA-ALA-PHE 7-AMIDO-4-METHYLCOUMARIN</w:t>
      </w:r>
      <w:r w:rsidR="000D2BB3">
        <w:rPr>
          <w:lang w:val="en-US"/>
        </w:rPr>
        <w:t>. This has been used in the methods paper and the Balmonte et al paper.</w:t>
      </w:r>
    </w:p>
    <w:p w14:paraId="25FDC6A3" w14:textId="598BDBED" w:rsidR="000D2BB3" w:rsidRDefault="000D2BB3" w:rsidP="00115EF5">
      <w:pPr>
        <w:pStyle w:val="ListParagraph"/>
        <w:numPr>
          <w:ilvl w:val="0"/>
          <w:numId w:val="1"/>
        </w:numPr>
        <w:rPr>
          <w:lang w:val="en-US"/>
        </w:rPr>
      </w:pPr>
      <w:r w:rsidRPr="0044620A">
        <w:rPr>
          <w:b/>
          <w:bCs/>
          <w:lang w:val="en-US"/>
        </w:rPr>
        <w:t>For en</w:t>
      </w:r>
      <w:r w:rsidR="002331E3">
        <w:rPr>
          <w:b/>
          <w:bCs/>
          <w:lang w:val="en-US"/>
        </w:rPr>
        <w:t>d</w:t>
      </w:r>
      <w:r w:rsidRPr="0044620A">
        <w:rPr>
          <w:b/>
          <w:bCs/>
          <w:lang w:val="en-US"/>
        </w:rPr>
        <w:t xml:space="preserve">o-acting </w:t>
      </w:r>
      <w:r w:rsidR="00277130" w:rsidRPr="0044620A">
        <w:rPr>
          <w:b/>
          <w:bCs/>
          <w:lang w:val="en-US"/>
        </w:rPr>
        <w:t>trypsin</w:t>
      </w:r>
      <w:r w:rsidR="00277130">
        <w:rPr>
          <w:lang w:val="en-US"/>
        </w:rPr>
        <w:t xml:space="preserve">: </w:t>
      </w:r>
      <w:r w:rsidR="00277130" w:rsidRPr="00277130">
        <w:rPr>
          <w:lang w:val="en-US"/>
        </w:rPr>
        <w:t>N-T-BOC-LEU-SER-THR-ARG 7-AMIDO-4</w:t>
      </w:r>
      <w:r w:rsidR="00277130">
        <w:rPr>
          <w:lang w:val="en-US"/>
        </w:rPr>
        <w:t xml:space="preserve">. This is from the methods paper (the Balmonte et al paper </w:t>
      </w:r>
      <w:r w:rsidR="00252686">
        <w:rPr>
          <w:lang w:val="en-US"/>
        </w:rPr>
        <w:t>uses different substrates).</w:t>
      </w:r>
    </w:p>
    <w:p w14:paraId="668BFEA2" w14:textId="393343BA" w:rsidR="00381B18" w:rsidRDefault="00381B18" w:rsidP="00115EF5">
      <w:pPr>
        <w:pStyle w:val="ListParagraph"/>
        <w:numPr>
          <w:ilvl w:val="0"/>
          <w:numId w:val="1"/>
        </w:numPr>
        <w:rPr>
          <w:lang w:val="en-US"/>
        </w:rPr>
      </w:pPr>
      <w:r w:rsidRPr="0044620A">
        <w:rPr>
          <w:b/>
          <w:bCs/>
          <w:lang w:val="en-US"/>
        </w:rPr>
        <w:t xml:space="preserve">For the </w:t>
      </w:r>
      <w:r w:rsidR="0044620A" w:rsidRPr="0044620A">
        <w:rPr>
          <w:b/>
          <w:bCs/>
          <w:lang w:val="en-US"/>
        </w:rPr>
        <w:t>calibration curve</w:t>
      </w:r>
      <w:r w:rsidR="0044620A">
        <w:rPr>
          <w:lang w:val="en-US"/>
        </w:rPr>
        <w:t xml:space="preserve">: </w:t>
      </w:r>
      <w:r w:rsidR="0044620A" w:rsidRPr="0044620A">
        <w:rPr>
          <w:lang w:val="en-US"/>
        </w:rPr>
        <w:t>7 amino 4 methyl coumarine (AMC)</w:t>
      </w:r>
    </w:p>
    <w:p w14:paraId="017D7FE7" w14:textId="2153ECAC" w:rsidR="00252686" w:rsidRPr="00252686" w:rsidRDefault="00252686" w:rsidP="00252686">
      <w:pPr>
        <w:rPr>
          <w:lang w:val="en-US"/>
        </w:rPr>
      </w:pPr>
      <w:r>
        <w:rPr>
          <w:lang w:val="en-US"/>
        </w:rPr>
        <w:t xml:space="preserve">The information on these substrates, including how to dilute them into DMSO stock solutions, is found in the Excel file </w:t>
      </w:r>
      <w:r w:rsidR="00381B18">
        <w:rPr>
          <w:lang w:val="en-US"/>
        </w:rPr>
        <w:t xml:space="preserve">“Exoenzymatic activity template from Tinkara revised 250325”. </w:t>
      </w:r>
    </w:p>
    <w:p w14:paraId="52FA2C01" w14:textId="7882277D" w:rsidR="005F3EB3" w:rsidRDefault="00E35FE6">
      <w:pPr>
        <w:rPr>
          <w:lang w:val="en-US"/>
        </w:rPr>
      </w:pPr>
      <w:r>
        <w:rPr>
          <w:lang w:val="en-US"/>
        </w:rPr>
        <w:t>Osnat, Dikla and Waseem could not find Ruegeria pomeroyii, so this strain was not tested</w:t>
      </w:r>
      <w:r w:rsidR="00DF760F">
        <w:rPr>
          <w:lang w:val="en-US"/>
        </w:rPr>
        <w:t xml:space="preserve"> in this experiment</w:t>
      </w:r>
      <w:r>
        <w:rPr>
          <w:lang w:val="en-US"/>
        </w:rPr>
        <w:t>.</w:t>
      </w:r>
    </w:p>
    <w:p w14:paraId="119C63CC" w14:textId="6B62DC54" w:rsidR="00E35FE6" w:rsidRPr="00E35FE6" w:rsidRDefault="00E35FE6">
      <w:pPr>
        <w:rPr>
          <w:color w:val="FF0000"/>
          <w:lang w:val="en-US"/>
        </w:rPr>
      </w:pPr>
      <w:r w:rsidRPr="00E35FE6">
        <w:rPr>
          <w:color w:val="FF0000"/>
          <w:lang w:val="en-US"/>
        </w:rPr>
        <w:t>** Get growth data from Dikla **</w:t>
      </w:r>
    </w:p>
    <w:p w14:paraId="0E342D12" w14:textId="79FED074" w:rsidR="002474DA" w:rsidRPr="00736200" w:rsidRDefault="002474DA">
      <w:pPr>
        <w:rPr>
          <w:b/>
          <w:bCs/>
          <w:lang w:val="en-US"/>
        </w:rPr>
      </w:pPr>
      <w:r w:rsidRPr="00736200">
        <w:rPr>
          <w:b/>
          <w:bCs/>
          <w:lang w:val="en-US"/>
        </w:rPr>
        <w:t>Preparing stock solutions:</w:t>
      </w:r>
      <w:r w:rsidR="00334643" w:rsidRPr="00334643">
        <w:t xml:space="preserve"> </w:t>
      </w:r>
      <w:r w:rsidR="00334643" w:rsidRPr="00334643">
        <w:rPr>
          <w:noProof/>
        </w:rPr>
        <w:drawing>
          <wp:inline distT="0" distB="0" distL="0" distR="0" wp14:anchorId="2DE8A258" wp14:editId="69CB6224">
            <wp:extent cx="6547884" cy="1619250"/>
            <wp:effectExtent l="0" t="0" r="5715" b="0"/>
            <wp:docPr id="15281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158" cy="162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3B57" w14:textId="77777777" w:rsidR="00E35FE6" w:rsidRDefault="00672A17" w:rsidP="00E35FE6">
      <w:pPr>
        <w:rPr>
          <w:lang w:val="en-US"/>
        </w:rPr>
      </w:pPr>
      <w:r>
        <w:rPr>
          <w:lang w:val="en-US"/>
        </w:rPr>
        <w:t xml:space="preserve"> </w:t>
      </w:r>
      <w:r w:rsidR="00E35FE6">
        <w:rPr>
          <w:lang w:val="en-US"/>
        </w:rPr>
        <w:t>Stock solutions for each substrate should be added at a final concentration of 100uM, so 4uL/well</w:t>
      </w:r>
    </w:p>
    <w:p w14:paraId="3B1F75C4" w14:textId="6D847870" w:rsidR="00E35FE6" w:rsidRDefault="00881267" w:rsidP="00881267">
      <w:pPr>
        <w:rPr>
          <w:lang w:val="en-US"/>
        </w:rPr>
      </w:pPr>
      <w:r w:rsidRPr="00627E70">
        <w:rPr>
          <w:b/>
          <w:bCs/>
          <w:lang w:val="en-US"/>
        </w:rPr>
        <w:lastRenderedPageBreak/>
        <w:t>Strains</w:t>
      </w:r>
      <w:r>
        <w:rPr>
          <w:b/>
          <w:bCs/>
          <w:lang w:val="en-US"/>
        </w:rPr>
        <w:t xml:space="preserve">, </w:t>
      </w:r>
      <w:r w:rsidRPr="00627E70">
        <w:rPr>
          <w:b/>
          <w:bCs/>
          <w:lang w:val="en-US"/>
        </w:rPr>
        <w:t>growth</w:t>
      </w:r>
      <w:r>
        <w:rPr>
          <w:b/>
          <w:bCs/>
          <w:lang w:val="en-US"/>
        </w:rPr>
        <w:t xml:space="preserve"> and cell counts</w:t>
      </w:r>
      <w:r>
        <w:rPr>
          <w:lang w:val="en-US"/>
        </w:rPr>
        <w:t xml:space="preserve">: Growth and counting of the bacteria was performed by Dikla. The 8 bacterial strains were revived from frozen stocks into 5ml MB, allowed to revive for ~48 hours at 25 degrees C (with shaking 90 rpm). They were then transferred to 60 ml ProMM and grown for 48 hours at 25 degrees C (with shaking 90 rpm). </w:t>
      </w:r>
      <w:r w:rsidR="00054BB6">
        <w:rPr>
          <w:lang w:val="en-US"/>
        </w:rPr>
        <w:t>Growth curves for these starters are found in the excel file – it seems that some (e.g. CIP</w:t>
      </w:r>
      <w:r w:rsidR="00C351E0">
        <w:rPr>
          <w:lang w:val="en-US"/>
        </w:rPr>
        <w:t>, Nitzch, 1A3) are likely in stationary stage, whereas others may still be exponentially growing</w:t>
      </w:r>
      <w:r>
        <w:rPr>
          <w:lang w:val="en-US"/>
        </w:rPr>
        <w:t>. Before the start of the experiment, the cultures were centrifuged at 7500 rpm/g for 5 minutes, the growth media was decanted, and the cells were resuspended in ~5 ml unamended sterile natural seawater. The cultures were counted using a Cytoflex (</w:t>
      </w:r>
      <w:r w:rsidRPr="004A09E7">
        <w:t>Beckman Coulter</w:t>
      </w:r>
      <w:r>
        <w:rPr>
          <w:lang w:val="en-US"/>
        </w:rPr>
        <w:t xml:space="preserve">) flow cytometer after staining with Sybr Green. </w:t>
      </w:r>
      <w:r w:rsidR="00EF554C">
        <w:rPr>
          <w:lang w:val="en-US"/>
        </w:rPr>
        <w:t xml:space="preserve">The results are found in the excel file </w:t>
      </w:r>
      <w:r w:rsidR="00C47733">
        <w:rPr>
          <w:lang w:val="en-US"/>
        </w:rPr>
        <w:t xml:space="preserve">“Cytoflex 250325”. Used these numbers to calculate the number of cells to </w:t>
      </w:r>
      <w:r w:rsidR="00CD1CB1">
        <w:rPr>
          <w:lang w:val="en-US"/>
        </w:rPr>
        <w:t>take (excel file “Exoenzyme activity 250325:</w:t>
      </w:r>
    </w:p>
    <w:p w14:paraId="45E2083C" w14:textId="77777777" w:rsidR="00401AD5" w:rsidRPr="00C47733" w:rsidRDefault="00401AD5" w:rsidP="00401AD5">
      <w:pPr>
        <w:rPr>
          <w:b/>
          <w:bCs/>
          <w:lang w:val="en-US"/>
        </w:rPr>
      </w:pPr>
      <w:r w:rsidRPr="00C47733">
        <w:rPr>
          <w:b/>
          <w:bCs/>
          <w:lang w:val="en-US"/>
        </w:rPr>
        <w:t>Experimental setup:</w:t>
      </w:r>
    </w:p>
    <w:p w14:paraId="51A79012" w14:textId="1C5641C7" w:rsidR="00CD1CB1" w:rsidRDefault="00CD1CB1">
      <w:pPr>
        <w:rPr>
          <w:lang w:val="en-US"/>
        </w:rPr>
      </w:pPr>
      <w:r>
        <w:rPr>
          <w:lang w:val="en-US"/>
        </w:rPr>
        <w:t xml:space="preserve">Bacteria were first diluted 1:50 in seawater, and these were used to </w:t>
      </w:r>
      <w:r w:rsidR="008517A0">
        <w:rPr>
          <w:lang w:val="en-US"/>
        </w:rPr>
        <w:t>prepare the triplicate 5,000,000 cells/ml wells (columns 1-3), which were then serially diluted 10-fold (20uL into 200uL, row 1 into row 4 and row 7, etc).</w:t>
      </w:r>
      <w:r w:rsidR="00AF6292">
        <w:rPr>
          <w:lang w:val="en-US"/>
        </w:rPr>
        <w:t xml:space="preserve"> Experiment was performed in black 96-well plates </w:t>
      </w:r>
      <w:r w:rsidR="00182894">
        <w:rPr>
          <w:lang w:val="en-US"/>
        </w:rPr>
        <w:t>(agilent 20</w:t>
      </w:r>
      <w:r w:rsidR="004D2340">
        <w:rPr>
          <w:lang w:val="en-US"/>
        </w:rPr>
        <w:t>4626-100 cell plt 96 blk ps tc lid irr)</w:t>
      </w:r>
      <w:r w:rsidR="00A41939">
        <w:rPr>
          <w:lang w:val="en-US"/>
        </w:rPr>
        <w:t xml:space="preserve">. </w:t>
      </w:r>
      <w:r w:rsidR="00A41939" w:rsidRPr="000D4194">
        <w:rPr>
          <w:color w:val="FF0000"/>
          <w:lang w:val="en-US"/>
        </w:rPr>
        <w:t>These are tissue-culture treated</w:t>
      </w:r>
      <w:r w:rsidR="000D4194" w:rsidRPr="000D4194">
        <w:rPr>
          <w:color w:val="FF0000"/>
          <w:lang w:val="en-US"/>
        </w:rPr>
        <w:t xml:space="preserve"> (need to check what this means)</w:t>
      </w:r>
      <w:r w:rsidR="00B8243B" w:rsidRPr="000D4194">
        <w:rPr>
          <w:color w:val="FF0000"/>
          <w:lang w:val="en-US"/>
        </w:rPr>
        <w:t>, and not low-binding</w:t>
      </w:r>
      <w:r w:rsidR="00B8243B">
        <w:rPr>
          <w:lang w:val="en-US"/>
        </w:rPr>
        <w:t xml:space="preserve">. </w:t>
      </w:r>
    </w:p>
    <w:p w14:paraId="692714E7" w14:textId="00C02771" w:rsidR="008517A0" w:rsidRDefault="00175751">
      <w:pPr>
        <w:rPr>
          <w:lang w:val="en-US"/>
        </w:rPr>
      </w:pPr>
      <w:r>
        <w:rPr>
          <w:lang w:val="en-US"/>
        </w:rPr>
        <w:t>Heat-killed cells were prepared by diluting 1:50, then preparing tubes with 5,000,000 cells/ml (</w:t>
      </w:r>
      <w:r w:rsidR="00F40152">
        <w:rPr>
          <w:lang w:val="en-US"/>
        </w:rPr>
        <w:t xml:space="preserve">~600uL), and these were heated to 96 degrees for ~20 min. There was not enough volume for </w:t>
      </w:r>
      <w:r w:rsidR="00122E5A">
        <w:rPr>
          <w:lang w:val="en-US"/>
        </w:rPr>
        <w:t xml:space="preserve">the </w:t>
      </w:r>
      <w:r w:rsidR="00DB6B12">
        <w:rPr>
          <w:lang w:val="en-US"/>
        </w:rPr>
        <w:t>P</w:t>
      </w:r>
      <w:r w:rsidR="00122E5A">
        <w:rPr>
          <w:lang w:val="en-US"/>
        </w:rPr>
        <w:t xml:space="preserve">haeobacter and MED4 so I did only duplicates (hence cells </w:t>
      </w:r>
      <w:r w:rsidR="004E7494">
        <w:rPr>
          <w:lang w:val="en-US"/>
        </w:rPr>
        <w:t>F3, 6, 9 and H3, 6, 9 should be like the blanks)</w:t>
      </w:r>
      <w:r w:rsidR="00DB6B12">
        <w:rPr>
          <w:lang w:val="en-US"/>
        </w:rPr>
        <w:t>.</w:t>
      </w:r>
    </w:p>
    <w:p w14:paraId="0F0AF0ED" w14:textId="35DE525F" w:rsidR="00933844" w:rsidRDefault="00933844">
      <w:pPr>
        <w:rPr>
          <w:lang w:val="en-US"/>
        </w:rPr>
      </w:pPr>
      <w:r>
        <w:rPr>
          <w:lang w:val="en-US"/>
        </w:rPr>
        <w:t xml:space="preserve">Due to lack of time I decided to start </w:t>
      </w:r>
      <w:r w:rsidR="00234E3C">
        <w:rPr>
          <w:lang w:val="en-US"/>
        </w:rPr>
        <w:t xml:space="preserve">on the first day </w:t>
      </w:r>
      <w:r>
        <w:rPr>
          <w:lang w:val="en-US"/>
        </w:rPr>
        <w:t xml:space="preserve">only with one substrate </w:t>
      </w:r>
      <w:r w:rsidR="00AF6292">
        <w:rPr>
          <w:lang w:val="en-US"/>
        </w:rPr>
        <w:t>–</w:t>
      </w:r>
      <w:r>
        <w:rPr>
          <w:lang w:val="en-US"/>
        </w:rPr>
        <w:t xml:space="preserve"> Le</w:t>
      </w:r>
      <w:r w:rsidR="00AF6292">
        <w:rPr>
          <w:lang w:val="en-US"/>
        </w:rPr>
        <w:t>u-AMC, for leucine-aminopeptidase.</w:t>
      </w:r>
    </w:p>
    <w:p w14:paraId="507B7E52" w14:textId="77777777" w:rsidR="00E35FE6" w:rsidRDefault="00E35FE6" w:rsidP="00E35FE6">
      <w:pPr>
        <w:rPr>
          <w:lang w:val="en-US"/>
        </w:rPr>
      </w:pPr>
      <w:r w:rsidRPr="00F40152">
        <w:rPr>
          <w:i/>
          <w:iCs/>
          <w:lang w:val="en-US"/>
        </w:rPr>
        <w:t>Prepare cells - Dilute to 5X10^6 cells/ml, then serial dilutions</w:t>
      </w:r>
      <w:r>
        <w:rPr>
          <w:lang w:val="en-US"/>
        </w:rPr>
        <w:t>.</w:t>
      </w:r>
    </w:p>
    <w:p w14:paraId="7EAD113E" w14:textId="6E5DE42D" w:rsidR="00E35FE6" w:rsidRPr="00D12ADA" w:rsidRDefault="00D12ADA">
      <w:pPr>
        <w:rPr>
          <w:color w:val="FF0000"/>
          <w:lang w:val="en-US"/>
        </w:rPr>
      </w:pPr>
      <w:r w:rsidRPr="00D12ADA">
        <w:rPr>
          <w:color w:val="FF0000"/>
          <w:lang w:val="en-US"/>
        </w:rPr>
        <w:t>** noticed day later that final volume was 200uL and not 220, meaning that the cell numbers are a bit lower and the substrate concentration a bit higher  – incorporate into calculation</w:t>
      </w:r>
      <w:r w:rsidR="00ED4755">
        <w:rPr>
          <w:color w:val="FF0000"/>
          <w:lang w:val="en-US"/>
        </w:rPr>
        <w:t xml:space="preserve"> ** added 190625 – the Excel file had corrected numbers (e.g. 220</w:t>
      </w:r>
      <w:r w:rsidR="00665F50">
        <w:rPr>
          <w:color w:val="FF0000"/>
          <w:lang w:val="en-US"/>
        </w:rPr>
        <w:t>uL). Not sure if I set up the experiment with 200 or 220. In any case since we will probably use the second day results I will not deal with this at this stage**</w:t>
      </w:r>
    </w:p>
    <w:p w14:paraId="3B0067BB" w14:textId="253B6162" w:rsidR="008B7748" w:rsidRDefault="00E35FE6">
      <w:pPr>
        <w:rPr>
          <w:lang w:val="en-US"/>
        </w:rPr>
      </w:pPr>
      <w:r w:rsidRPr="00E22258">
        <w:rPr>
          <w:noProof/>
        </w:rPr>
        <w:drawing>
          <wp:inline distT="0" distB="0" distL="0" distR="0" wp14:anchorId="7213B7C0" wp14:editId="17C77841">
            <wp:extent cx="5731510" cy="1783080"/>
            <wp:effectExtent l="0" t="0" r="2540" b="7620"/>
            <wp:docPr id="1343564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901E" w14:textId="54F5FD92" w:rsidR="00E22258" w:rsidRDefault="00C16F84">
      <w:pPr>
        <w:rPr>
          <w:lang w:val="en-US"/>
        </w:rPr>
      </w:pPr>
      <w:r w:rsidRPr="00F40152">
        <w:rPr>
          <w:i/>
          <w:iCs/>
          <w:lang w:val="en-US"/>
        </w:rPr>
        <w:lastRenderedPageBreak/>
        <w:t>Prepare heat-killed samples</w:t>
      </w:r>
      <w:r>
        <w:rPr>
          <w:lang w:val="en-US"/>
        </w:rPr>
        <w:t>:</w:t>
      </w:r>
    </w:p>
    <w:p w14:paraId="658F4513" w14:textId="1A972037" w:rsidR="00D12ADA" w:rsidRPr="00D12ADA" w:rsidRDefault="00D12ADA">
      <w:pPr>
        <w:rPr>
          <w:color w:val="FF0000"/>
          <w:lang w:val="en-US"/>
        </w:rPr>
      </w:pPr>
      <w:r w:rsidRPr="00D12ADA">
        <w:rPr>
          <w:color w:val="FF0000"/>
          <w:lang w:val="en-US"/>
        </w:rPr>
        <w:t>** Added more volume for experiment on day 2</w:t>
      </w:r>
    </w:p>
    <w:p w14:paraId="34DE632F" w14:textId="64F96450" w:rsidR="00C16F84" w:rsidRDefault="00C16F84">
      <w:pPr>
        <w:rPr>
          <w:lang w:val="en-US"/>
        </w:rPr>
      </w:pPr>
      <w:r w:rsidRPr="00C16F84">
        <w:rPr>
          <w:noProof/>
        </w:rPr>
        <w:drawing>
          <wp:inline distT="0" distB="0" distL="0" distR="0" wp14:anchorId="28CC7FEF" wp14:editId="3174D3F8">
            <wp:extent cx="2072062" cy="1869036"/>
            <wp:effectExtent l="0" t="0" r="4445" b="0"/>
            <wp:docPr id="1202158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893" cy="187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A118" w14:textId="35A0B69A" w:rsidR="00C16F84" w:rsidRDefault="00877890">
      <w:pPr>
        <w:rPr>
          <w:lang w:val="en-US"/>
        </w:rPr>
      </w:pPr>
      <w:r>
        <w:rPr>
          <w:lang w:val="en-US"/>
        </w:rPr>
        <w:t>Waseem added 4uL of the Leu-APA</w:t>
      </w:r>
      <w:r w:rsidR="00AF6292">
        <w:rPr>
          <w:lang w:val="en-US"/>
        </w:rPr>
        <w:t>, incubated at room temperature for 1 and 2 hours. First hour was by mistake in the light. Measured also t=0, using Tal’s plate reader.</w:t>
      </w:r>
    </w:p>
    <w:p w14:paraId="685A3AFF" w14:textId="38FB5665" w:rsidR="00862B00" w:rsidRDefault="00862B00">
      <w:pPr>
        <w:rPr>
          <w:lang w:val="en-US"/>
        </w:rPr>
      </w:pPr>
    </w:p>
    <w:p w14:paraId="10E18C95" w14:textId="0D82C0BC" w:rsidR="00862B00" w:rsidRDefault="00862B00">
      <w:pPr>
        <w:rPr>
          <w:lang w:val="en-US"/>
        </w:rPr>
      </w:pPr>
      <w:r>
        <w:rPr>
          <w:lang w:val="en-US"/>
        </w:rPr>
        <w:t>Results analysis:</w:t>
      </w:r>
    </w:p>
    <w:p w14:paraId="50496C62" w14:textId="77777777" w:rsidR="00A04988" w:rsidRDefault="00C25EF7" w:rsidP="00862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Calibration curve is linear from </w:t>
      </w:r>
      <w:r w:rsidR="004075D7">
        <w:rPr>
          <w:lang w:val="en-US"/>
        </w:rPr>
        <w:t xml:space="preserve">about </w:t>
      </w:r>
      <w:r w:rsidR="0048693A">
        <w:rPr>
          <w:lang w:val="en-US"/>
        </w:rPr>
        <w:t>20</w:t>
      </w:r>
      <w:r w:rsidR="004075D7">
        <w:rPr>
          <w:lang w:val="en-US"/>
        </w:rPr>
        <w:t>nM</w:t>
      </w:r>
      <w:r w:rsidR="00221569">
        <w:rPr>
          <w:lang w:val="en-US"/>
        </w:rPr>
        <w:t xml:space="preserve"> to about 20uM. Very similar slope after 1 and 2 hours.</w:t>
      </w:r>
      <w:r w:rsidR="00A04988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2"/>
        <w:gridCol w:w="2453"/>
        <w:gridCol w:w="3311"/>
      </w:tblGrid>
      <w:tr w:rsidR="00527937" w14:paraId="0FAD9DEB" w14:textId="77777777" w:rsidTr="00A04988">
        <w:tc>
          <w:tcPr>
            <w:tcW w:w="2765" w:type="dxa"/>
          </w:tcPr>
          <w:p w14:paraId="061BF58F" w14:textId="605D2C13" w:rsidR="00A04988" w:rsidRDefault="00527937" w:rsidP="00A04988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2C69F47" wp14:editId="2BAA3DAB">
                  <wp:extent cx="1755648" cy="967884"/>
                  <wp:effectExtent l="0" t="0" r="0" b="3810"/>
                  <wp:docPr id="12873609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368" cy="9804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9A81CBA" w14:textId="0B351251" w:rsidR="00A04988" w:rsidRDefault="00527937" w:rsidP="00A04988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4783DE" wp14:editId="1D556569">
                  <wp:extent cx="1691438" cy="936346"/>
                  <wp:effectExtent l="0" t="0" r="4445" b="0"/>
                  <wp:docPr id="13161932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548" cy="9413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1630B19" w14:textId="60966346" w:rsidR="00A04988" w:rsidRDefault="00527937" w:rsidP="00A04988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36D26D" wp14:editId="24588293">
                  <wp:extent cx="2345320" cy="1301140"/>
                  <wp:effectExtent l="0" t="0" r="0" b="0"/>
                  <wp:docPr id="18646735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575" cy="13079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988" w14:paraId="6AF097E3" w14:textId="77777777" w:rsidTr="004D3E64">
        <w:tc>
          <w:tcPr>
            <w:tcW w:w="8296" w:type="dxa"/>
            <w:gridSpan w:val="3"/>
          </w:tcPr>
          <w:p w14:paraId="129EA36F" w14:textId="27A626DE" w:rsidR="00A04988" w:rsidRDefault="00715DA8" w:rsidP="00A049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Figure 1: </w:t>
            </w:r>
            <w:r w:rsidR="00A04988">
              <w:rPr>
                <w:lang w:val="en-US"/>
              </w:rPr>
              <w:t>Calibratio</w:t>
            </w:r>
            <w:r w:rsidR="00475C0E">
              <w:rPr>
                <w:lang w:val="en-US"/>
              </w:rPr>
              <w:t>n</w:t>
            </w:r>
            <w:r w:rsidR="00A04988">
              <w:rPr>
                <w:lang w:val="en-US"/>
              </w:rPr>
              <w:t xml:space="preserve"> curve after 2hours, sho</w:t>
            </w:r>
            <w:r w:rsidR="00527937">
              <w:rPr>
                <w:lang w:val="en-US"/>
              </w:rPr>
              <w:t>w</w:t>
            </w:r>
            <w:r w:rsidR="00A04988">
              <w:rPr>
                <w:lang w:val="en-US"/>
              </w:rPr>
              <w:t xml:space="preserve">ing the full curve, and the region to 20uM and </w:t>
            </w:r>
            <w:r w:rsidR="00475C0E">
              <w:rPr>
                <w:lang w:val="en-US"/>
              </w:rPr>
              <w:t>100nM</w:t>
            </w:r>
          </w:p>
        </w:tc>
      </w:tr>
    </w:tbl>
    <w:p w14:paraId="6C109169" w14:textId="66440B07" w:rsidR="00862B00" w:rsidRDefault="000E4D22" w:rsidP="00862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blank (with added substrate) </w:t>
      </w:r>
      <w:r w:rsidR="0015692D">
        <w:rPr>
          <w:lang w:val="en-US"/>
        </w:rPr>
        <w:t>is about 0.5uM, regardless of whether after one or two hours. Since the regression line is very similar this seems to mean that while there is a background, there is very little actual protease activity in the water.</w:t>
      </w:r>
    </w:p>
    <w:p w14:paraId="24A54A42" w14:textId="45BA8658" w:rsidR="00A04988" w:rsidRDefault="00F350C2" w:rsidP="00862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Subtracted the blank from all values (starting </w:t>
      </w:r>
      <w:r w:rsidR="00626766">
        <w:rPr>
          <w:lang w:val="en-US"/>
        </w:rPr>
        <w:t xml:space="preserve">Q28 in 1h and 2h tabs), then calculated the uM AMC substrate (starting Q39), then </w:t>
      </w:r>
      <w:r w:rsidR="005D1164">
        <w:rPr>
          <w:lang w:val="en-US"/>
        </w:rPr>
        <w:t xml:space="preserve">divided by hours (Q51, copied the 1h data to Q62 of the 2h tab). </w:t>
      </w:r>
      <w:r w:rsidR="004343E1">
        <w:rPr>
          <w:lang w:val="en-US"/>
        </w:rPr>
        <w:t xml:space="preserve">There was a clear signal </w:t>
      </w:r>
      <w:r w:rsidR="00B232FD">
        <w:rPr>
          <w:lang w:val="en-US"/>
        </w:rPr>
        <w:t>above the noise only in the 5,000,000 cells/ml at both time points, for Alteromonas, Pseudoalteromonas,</w:t>
      </w:r>
      <w:r w:rsidR="006B1E55">
        <w:rPr>
          <w:lang w:val="en-US"/>
        </w:rPr>
        <w:t xml:space="preserve"> Roseovarius, Phaeobacter and MArinobacter. Sulfitobacter was closer to the LOD in the 1h incubation (one well had negative numbers)</w:t>
      </w:r>
      <w:r w:rsidR="00553B5C">
        <w:rPr>
          <w:lang w:val="en-US"/>
        </w:rPr>
        <w:t xml:space="preserve"> but the signal seemed stronger after 2h. Marinovu</w:t>
      </w:r>
      <w:r w:rsidR="002D7B51">
        <w:rPr>
          <w:lang w:val="en-US"/>
        </w:rPr>
        <w:t>m</w:t>
      </w:r>
      <w:r w:rsidR="00553B5C">
        <w:rPr>
          <w:lang w:val="en-US"/>
        </w:rPr>
        <w:t xml:space="preserve"> might be getting close to the LOD after 2h. MED4 had no signal at either ti</w:t>
      </w:r>
      <w:r w:rsidR="002D7B51">
        <w:rPr>
          <w:lang w:val="en-US"/>
        </w:rPr>
        <w:t xml:space="preserve">me. The heat-killed negative controls </w:t>
      </w:r>
      <w:r w:rsidR="007C09BB">
        <w:rPr>
          <w:lang w:val="en-US"/>
        </w:rPr>
        <w:t>had no activity</w:t>
      </w:r>
    </w:p>
    <w:p w14:paraId="42E8FF93" w14:textId="71692D21" w:rsidR="002D7B51" w:rsidRDefault="00477384" w:rsidP="00862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When both times were above LOD, t</w:t>
      </w:r>
      <w:r w:rsidR="007C09BB">
        <w:rPr>
          <w:lang w:val="en-US"/>
        </w:rPr>
        <w:t xml:space="preserve">he rates of </w:t>
      </w:r>
      <w:r w:rsidR="005E292E">
        <w:rPr>
          <w:lang w:val="en-US"/>
        </w:rPr>
        <w:t xml:space="preserve">proteolysis were </w:t>
      </w:r>
      <w:r w:rsidR="00307800">
        <w:rPr>
          <w:lang w:val="en-US"/>
        </w:rPr>
        <w:t xml:space="preserve">similar after 1h and 2h, with the exception of </w:t>
      </w:r>
      <w:r w:rsidR="00FC14C2">
        <w:rPr>
          <w:lang w:val="en-US"/>
        </w:rPr>
        <w:t>Marinobacter, where the rates were higher after 2h (t-test results in Q</w:t>
      </w:r>
      <w:r>
        <w:rPr>
          <w:lang w:val="en-US"/>
        </w:rPr>
        <w:t xml:space="preserve"> 85, tab 2h). </w:t>
      </w:r>
    </w:p>
    <w:p w14:paraId="327A3F6A" w14:textId="5DFF5A01" w:rsidR="002C3F58" w:rsidRDefault="00C87B00" w:rsidP="002C3F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was a signal above LOD for Alteromonas also in </w:t>
      </w:r>
      <w:r w:rsidR="005174E5">
        <w:rPr>
          <w:lang w:val="en-US"/>
        </w:rPr>
        <w:t xml:space="preserve">2/3 wells in the </w:t>
      </w:r>
      <w:r>
        <w:rPr>
          <w:lang w:val="en-US"/>
        </w:rPr>
        <w:t xml:space="preserve">the 500,000 cells sample, </w:t>
      </w:r>
      <w:r w:rsidR="005174E5">
        <w:rPr>
          <w:lang w:val="en-US"/>
        </w:rPr>
        <w:t>but it was probably very close to the LOD, and was not scaled 1:10 compared to the 5,000,000 cells sample</w:t>
      </w:r>
      <w:r w:rsidR="00BB0BBE">
        <w:rPr>
          <w:lang w:val="en-US"/>
        </w:rPr>
        <w:t xml:space="preserve"> (order of magnitude lower).</w:t>
      </w:r>
    </w:p>
    <w:p w14:paraId="5957FD0C" w14:textId="3226AE4B" w:rsidR="002C3F58" w:rsidRDefault="002A7054" w:rsidP="002C3F58">
      <w:pPr>
        <w:pStyle w:val="ListParagraph"/>
        <w:numPr>
          <w:ilvl w:val="0"/>
          <w:numId w:val="2"/>
        </w:numPr>
        <w:rPr>
          <w:lang w:val="en-US"/>
        </w:rPr>
      </w:pPr>
      <w:commentRangeStart w:id="0"/>
      <w:r>
        <w:rPr>
          <w:lang w:val="en-US"/>
        </w:rPr>
        <w:t xml:space="preserve">Alteromonas had by far the highest aminopeptidase activity per cell </w:t>
      </w:r>
      <w:r w:rsidR="00E965B3">
        <w:rPr>
          <w:lang w:val="en-US"/>
        </w:rPr>
        <w:t>–</w:t>
      </w:r>
      <w:r>
        <w:rPr>
          <w:lang w:val="en-US"/>
        </w:rPr>
        <w:t xml:space="preserve"> </w:t>
      </w:r>
      <w:r w:rsidR="00E965B3">
        <w:rPr>
          <w:lang w:val="en-US"/>
        </w:rPr>
        <w:t xml:space="preserve">almost 3-fold higher than the next highest (Pseudoalteromonas and Phaeobacter). </w:t>
      </w:r>
      <w:r w:rsidR="008F45F3">
        <w:rPr>
          <w:lang w:val="en-US"/>
        </w:rPr>
        <w:t xml:space="preserve">Subacter, Marinovum and MED4 were close to or below the LOD. </w:t>
      </w:r>
      <w:commentRangeEnd w:id="0"/>
      <w:r w:rsidR="00A04034">
        <w:rPr>
          <w:rStyle w:val="CommentReference"/>
        </w:rPr>
        <w:commentReference w:id="0"/>
      </w:r>
    </w:p>
    <w:p w14:paraId="52D3BC7A" w14:textId="37ED3AAC" w:rsidR="00E54230" w:rsidRDefault="00E54230" w:rsidP="002C3F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**20/6/25 – re-checked the results as I was working on the </w:t>
      </w:r>
      <w:r w:rsidR="007676CB">
        <w:rPr>
          <w:lang w:val="en-US"/>
        </w:rPr>
        <w:t xml:space="preserve">26/3/25 data and noticed that I made a 3-order-of-magnitude mistake. Dividing umole/L*h (degradation rate) by cells which are in cells/ml </w:t>
      </w:r>
      <w:r w:rsidR="007F28B0">
        <w:rPr>
          <w:lang w:val="en-US"/>
        </w:rPr>
        <w:t>means I need to change the umole to nmole. The results are then in fmole/cell*h rather than pmole. This also makes sense in comparison with the literature, e.g. Martinez et al AME 1996 (in my papers as “en</w:t>
      </w:r>
      <w:r w:rsidR="005B6D6F">
        <w:rPr>
          <w:lang w:val="en-US"/>
        </w:rPr>
        <w:t>z</w:t>
      </w:r>
      <w:r w:rsidR="007F28B0">
        <w:rPr>
          <w:lang w:val="en-US"/>
        </w:rPr>
        <w:t>ymatic activity</w:t>
      </w:r>
      <w:r w:rsidR="005B6D6F">
        <w:rPr>
          <w:lang w:val="en-US"/>
        </w:rPr>
        <w:t xml:space="preserve"> marine bacteria AME 1996”), where the values are between ~4-3000 amole substrate cell-1 h-1 (0.0</w:t>
      </w:r>
      <w:r w:rsidR="00C32C25">
        <w:rPr>
          <w:lang w:val="en-US"/>
        </w:rPr>
        <w:t>04-3 fmole substrate cell-1 h-1 – our</w:t>
      </w:r>
      <w:r w:rsidR="00F1777D">
        <w:rPr>
          <w:lang w:val="en-US"/>
        </w:rPr>
        <w:t xml:space="preserve"> cells range from 0-0.7 fmole cell-1 h-1</w:t>
      </w:r>
      <w:r w:rsidR="00715DA8">
        <w:rPr>
          <w:lang w:val="en-US"/>
        </w:rPr>
        <w:t>).</w:t>
      </w:r>
    </w:p>
    <w:p w14:paraId="0A5CA437" w14:textId="22F09CE5" w:rsidR="00310E84" w:rsidRDefault="00310E84" w:rsidP="00310E84">
      <w:pPr>
        <w:pStyle w:val="ListParagraph"/>
        <w:rPr>
          <w:noProof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15DA8" w14:paraId="604B8D93" w14:textId="77777777" w:rsidTr="00715DA8">
        <w:tc>
          <w:tcPr>
            <w:tcW w:w="9016" w:type="dxa"/>
          </w:tcPr>
          <w:p w14:paraId="3D28C648" w14:textId="36C7B2BC" w:rsidR="00715DA8" w:rsidRDefault="00715DA8" w:rsidP="00310E84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00C7BC" wp14:editId="6F8E07A2">
                  <wp:extent cx="5187950" cy="3182620"/>
                  <wp:effectExtent l="0" t="0" r="0" b="0"/>
                  <wp:docPr id="1532778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0" cy="3182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DA8" w14:paraId="39FA098A" w14:textId="77777777" w:rsidTr="00715DA8">
        <w:tc>
          <w:tcPr>
            <w:tcW w:w="9016" w:type="dxa"/>
          </w:tcPr>
          <w:p w14:paraId="4D831CF0" w14:textId="4C84DE22" w:rsidR="00715DA8" w:rsidRDefault="00715DA8" w:rsidP="00310E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Figure 2: aminopeptidase activity in cells several hours after transfer into</w:t>
            </w:r>
            <w:r w:rsidR="0024690D">
              <w:rPr>
                <w:lang w:val="en-US"/>
              </w:rPr>
              <w:t xml:space="preserve"> seawater, units corrected on 20/6/25</w:t>
            </w:r>
          </w:p>
        </w:tc>
      </w:tr>
    </w:tbl>
    <w:p w14:paraId="70BA8A4F" w14:textId="77777777" w:rsidR="00715DA8" w:rsidRPr="002C3F58" w:rsidRDefault="00715DA8" w:rsidP="00310E84">
      <w:pPr>
        <w:pStyle w:val="ListParagraph"/>
        <w:rPr>
          <w:lang w:val="en-US"/>
        </w:rPr>
      </w:pPr>
    </w:p>
    <w:p w14:paraId="5BEDA60C" w14:textId="1BDE8C5C" w:rsidR="00A04988" w:rsidRPr="00A04988" w:rsidRDefault="00310E84" w:rsidP="00A04988">
      <w:pPr>
        <w:ind w:left="360"/>
        <w:rPr>
          <w:lang w:val="en-US"/>
        </w:rPr>
      </w:pPr>
      <w:r>
        <w:rPr>
          <w:lang w:val="en-US"/>
        </w:rPr>
        <w:t>As a reminder, these results are in cells incubated in SW within 2-3 hours of growing exponentially. Worth repeating tomorrow in starved cells?</w:t>
      </w:r>
    </w:p>
    <w:p w14:paraId="31C010A4" w14:textId="2874D5D0" w:rsidR="00A43789" w:rsidRDefault="00A43789" w:rsidP="00A43789">
      <w:pPr>
        <w:rPr>
          <w:lang w:val="en-US"/>
        </w:rPr>
      </w:pPr>
    </w:p>
    <w:p w14:paraId="1C1A6475" w14:textId="77777777" w:rsidR="00DE6337" w:rsidRDefault="00DE6337" w:rsidP="00A43789">
      <w:pPr>
        <w:rPr>
          <w:lang w:val="en-US"/>
        </w:rPr>
      </w:pPr>
    </w:p>
    <w:p w14:paraId="64DDFD29" w14:textId="77A89466" w:rsidR="00A04034" w:rsidRPr="007924AB" w:rsidRDefault="00A04034" w:rsidP="00A43789">
      <w:pPr>
        <w:rPr>
          <w:b/>
          <w:bCs/>
          <w:lang w:val="en-US"/>
        </w:rPr>
      </w:pPr>
      <w:r w:rsidRPr="007924AB">
        <w:rPr>
          <w:b/>
          <w:bCs/>
          <w:lang w:val="en-US"/>
        </w:rPr>
        <w:lastRenderedPageBreak/>
        <w:t xml:space="preserve">26/3/25: repeating exoprotease experiments with cells after 24h </w:t>
      </w:r>
      <w:r w:rsidR="00FA7C84" w:rsidRPr="007924AB">
        <w:rPr>
          <w:b/>
          <w:bCs/>
          <w:lang w:val="en-US"/>
        </w:rPr>
        <w:t xml:space="preserve">in seawater (nutrient starvation). </w:t>
      </w:r>
    </w:p>
    <w:p w14:paraId="7A85FDB9" w14:textId="7F900961" w:rsidR="00FA7C84" w:rsidRDefault="00FA7C84" w:rsidP="00FA7C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</w:t>
      </w:r>
      <w:r w:rsidR="006D53AC">
        <w:rPr>
          <w:lang w:val="en-US"/>
        </w:rPr>
        <w:t xml:space="preserve">ke cells from incubator in </w:t>
      </w:r>
      <w:r w:rsidR="009E3E89">
        <w:rPr>
          <w:lang w:val="en-US"/>
        </w:rPr>
        <w:t>culture room. Measure OD600 if possible. Take samples for FCM (</w:t>
      </w:r>
      <w:r w:rsidR="0085660D">
        <w:rPr>
          <w:lang w:val="en-US"/>
        </w:rPr>
        <w:t>5uL Glut in 1mL cells).</w:t>
      </w:r>
    </w:p>
    <w:p w14:paraId="56A113E4" w14:textId="6D1A8FBB" w:rsidR="00DE6337" w:rsidRDefault="00DE6337" w:rsidP="00FA7C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Prepare 1:50 dilution</w:t>
      </w:r>
      <w:r w:rsidR="00DC208F">
        <w:rPr>
          <w:lang w:val="en-US"/>
        </w:rPr>
        <w:t xml:space="preserve"> in 15ml tubes (so there is sufficient volume for all experiments and heat-killed controls) </w:t>
      </w:r>
      <w:r w:rsidR="00241663">
        <w:rPr>
          <w:lang w:val="en-US"/>
        </w:rPr>
        <w:t>–</w:t>
      </w:r>
      <w:r w:rsidR="00DC208F">
        <w:rPr>
          <w:lang w:val="en-US"/>
        </w:rPr>
        <w:t xml:space="preserve"> </w:t>
      </w:r>
      <w:r w:rsidR="00241663">
        <w:rPr>
          <w:lang w:val="en-US"/>
        </w:rPr>
        <w:t>100ul cells + 5ml</w:t>
      </w:r>
      <w:r w:rsidR="00FA606E">
        <w:rPr>
          <w:lang w:val="en-US"/>
        </w:rPr>
        <w:t xml:space="preserve"> seawater</w:t>
      </w:r>
    </w:p>
    <w:p w14:paraId="6FBB9F9A" w14:textId="7419ABD7" w:rsidR="00AD3DF9" w:rsidRDefault="00AD3DF9" w:rsidP="00FA7C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Prepare </w:t>
      </w:r>
      <w:r w:rsidR="009C76E0">
        <w:rPr>
          <w:lang w:val="en-US"/>
        </w:rPr>
        <w:t xml:space="preserve">two sets of </w:t>
      </w:r>
      <w:r>
        <w:rPr>
          <w:lang w:val="en-US"/>
        </w:rPr>
        <w:t>heat-killed cells</w:t>
      </w:r>
      <w:r w:rsidR="009C76E0">
        <w:rPr>
          <w:lang w:val="en-US"/>
        </w:rPr>
        <w:t xml:space="preserve"> (5 </w:t>
      </w:r>
      <w:r w:rsidR="00763C5E">
        <w:rPr>
          <w:lang w:val="en-US"/>
        </w:rPr>
        <w:t>reactions each – we need a total of 9, for the three substrates)</w:t>
      </w:r>
      <w:r>
        <w:rPr>
          <w:lang w:val="en-US"/>
        </w:rPr>
        <w:t>, this time with larger volumes:</w:t>
      </w:r>
      <w:r w:rsidR="00763C5E">
        <w:rPr>
          <w:lang w:val="en-US"/>
        </w:rPr>
        <w:br/>
      </w:r>
      <w:r w:rsidR="00763C5E" w:rsidRPr="00763C5E">
        <w:rPr>
          <w:noProof/>
        </w:rPr>
        <w:drawing>
          <wp:inline distT="0" distB="0" distL="0" distR="0" wp14:anchorId="0DEFD3AE" wp14:editId="3C326356">
            <wp:extent cx="3305175" cy="2981325"/>
            <wp:effectExtent l="0" t="0" r="9525" b="9525"/>
            <wp:docPr id="756543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44F3" w14:textId="2CA8C59E" w:rsidR="0085660D" w:rsidRDefault="001138D9" w:rsidP="00FA7C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Prepare plates as yesterday, with updates map:</w:t>
      </w:r>
    </w:p>
    <w:p w14:paraId="1133C161" w14:textId="26545ADD" w:rsidR="00AD3DF9" w:rsidRDefault="00AD3DF9" w:rsidP="00AD3DF9">
      <w:pPr>
        <w:pStyle w:val="ListParagraph"/>
        <w:rPr>
          <w:noProof/>
        </w:rPr>
      </w:pPr>
      <w:r w:rsidRPr="00AD3DF9">
        <w:rPr>
          <w:noProof/>
        </w:rPr>
        <w:drawing>
          <wp:inline distT="0" distB="0" distL="0" distR="0" wp14:anchorId="43B011C9" wp14:editId="082142DB">
            <wp:extent cx="5731510" cy="1783080"/>
            <wp:effectExtent l="0" t="0" r="2540" b="7620"/>
            <wp:docPr id="202168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7A82" w14:textId="46F7A084" w:rsidR="0072307A" w:rsidRDefault="002003E7" w:rsidP="0072307A">
      <w:pPr>
        <w:rPr>
          <w:noProof/>
          <w:lang w:val="en-US"/>
        </w:rPr>
      </w:pPr>
      <w:r>
        <w:rPr>
          <w:noProof/>
          <w:lang w:val="en-US"/>
        </w:rPr>
        <w:t>(written 220625, based on written notes):</w:t>
      </w:r>
    </w:p>
    <w:p w14:paraId="49E6ABBB" w14:textId="38FDF2E9" w:rsidR="00462F7D" w:rsidRDefault="002003E7" w:rsidP="00462F7D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MED4 was diluted only 1:25 in </w:t>
      </w:r>
      <w:r w:rsidR="00462F7D">
        <w:rPr>
          <w:noProof/>
          <w:lang w:val="en-US"/>
        </w:rPr>
        <w:t>prep for FCM</w:t>
      </w:r>
    </w:p>
    <w:p w14:paraId="5BB87B8E" w14:textId="675EAE0F" w:rsidR="00462F7D" w:rsidRDefault="00462F7D" w:rsidP="00462F7D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Plate 1 was Leu-AMC, plate 2 was AAP-AMC, </w:t>
      </w:r>
      <w:r w:rsidR="00617302">
        <w:rPr>
          <w:noProof/>
          <w:lang w:val="en-US"/>
        </w:rPr>
        <w:t>plate 3 was MT-BOC, plate 4 was standards (as was originally planned for experiment 1, the day before).</w:t>
      </w:r>
    </w:p>
    <w:p w14:paraId="14CDB9BB" w14:textId="0DE394B8" w:rsidR="00617302" w:rsidRDefault="00617302" w:rsidP="00462F7D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There was not enough substrtate for </w:t>
      </w:r>
      <w:r w:rsidR="00D33A5A">
        <w:rPr>
          <w:noProof/>
          <w:lang w:val="en-US"/>
        </w:rPr>
        <w:t xml:space="preserve">column 9 in the AAP plate. Indeed the FL from this column is at baseline levels. </w:t>
      </w:r>
    </w:p>
    <w:p w14:paraId="536362F3" w14:textId="22B548D6" w:rsidR="00560311" w:rsidRDefault="00560311" w:rsidP="00462F7D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BOC was at 30mM (not enough substrate – calculated anc changed on the fly?)</w:t>
      </w:r>
      <w:r w:rsidR="000E3AE0">
        <w:rPr>
          <w:noProof/>
          <w:lang w:val="en-US"/>
        </w:rPr>
        <w:t>.</w:t>
      </w:r>
    </w:p>
    <w:p w14:paraId="6E95A932" w14:textId="4868F765" w:rsidR="000E3AE0" w:rsidRDefault="000E3AE0" w:rsidP="00462F7D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Heat-killed cells were cooled before loading on the plate to avoid condensate.</w:t>
      </w:r>
    </w:p>
    <w:p w14:paraId="11AADC93" w14:textId="1CE0AC02" w:rsidR="00F771C8" w:rsidRPr="00462F7D" w:rsidRDefault="00F771C8" w:rsidP="00462F7D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A different column is used for the blank of each substrate: </w:t>
      </w:r>
      <w:r w:rsidR="005C44D3">
        <w:rPr>
          <w:noProof/>
          <w:lang w:val="en-US"/>
        </w:rPr>
        <w:t>column 3 for Leu-AMC, column 4 for AAP-AMC, column 5 for MT-BOC. This means that the blank needs to be adjusted for each plate</w:t>
      </w:r>
    </w:p>
    <w:p w14:paraId="09F1EE42" w14:textId="11A656C1" w:rsidR="0072307A" w:rsidRDefault="00807E41" w:rsidP="0072307A">
      <w:pPr>
        <w:tabs>
          <w:tab w:val="left" w:pos="960"/>
        </w:tabs>
        <w:rPr>
          <w:lang w:val="en-US"/>
        </w:rPr>
      </w:pPr>
      <w:r w:rsidRPr="00807E41">
        <w:rPr>
          <w:b/>
          <w:bCs/>
          <w:lang w:val="en-US"/>
        </w:rPr>
        <w:t>Results</w:t>
      </w:r>
      <w:r w:rsidR="0072307A" w:rsidRPr="00807E41">
        <w:rPr>
          <w:b/>
          <w:bCs/>
          <w:lang w:val="en-US"/>
        </w:rPr>
        <w:t xml:space="preserve"> summary</w:t>
      </w:r>
      <w:r w:rsidR="0072307A">
        <w:rPr>
          <w:lang w:val="en-US"/>
        </w:rPr>
        <w:t xml:space="preserve"> – written (unfortunately) several months later, on 19/6/25</w:t>
      </w:r>
      <w:r w:rsidR="00487083">
        <w:rPr>
          <w:lang w:val="en-US"/>
        </w:rPr>
        <w:t xml:space="preserve"> and 22/6/25</w:t>
      </w:r>
      <w:r w:rsidR="0072307A">
        <w:rPr>
          <w:lang w:val="en-US"/>
        </w:rPr>
        <w:t>.</w:t>
      </w:r>
    </w:p>
    <w:p w14:paraId="32CA8508" w14:textId="5AEC3D76" w:rsidR="00807E41" w:rsidRDefault="00807E41" w:rsidP="0072307A">
      <w:pPr>
        <w:tabs>
          <w:tab w:val="left" w:pos="960"/>
        </w:tabs>
        <w:rPr>
          <w:lang w:val="en-US"/>
        </w:rPr>
      </w:pPr>
      <w:r>
        <w:rPr>
          <w:lang w:val="en-US"/>
        </w:rPr>
        <w:t xml:space="preserve">Overall experiment was performed as planned, </w:t>
      </w:r>
      <w:r w:rsidR="00922BA4">
        <w:rPr>
          <w:lang w:val="en-US"/>
        </w:rPr>
        <w:t xml:space="preserve">with </w:t>
      </w:r>
      <w:r w:rsidR="0014551E">
        <w:rPr>
          <w:lang w:val="en-US"/>
        </w:rPr>
        <w:t xml:space="preserve">the </w:t>
      </w:r>
      <w:r w:rsidR="00922BA4">
        <w:rPr>
          <w:lang w:val="en-US"/>
        </w:rPr>
        <w:t>three substrates</w:t>
      </w:r>
      <w:r w:rsidR="0014551E">
        <w:rPr>
          <w:lang w:val="en-US"/>
        </w:rPr>
        <w:t xml:space="preserve">. Measurements were taken at </w:t>
      </w:r>
      <w:r w:rsidR="00253F0F">
        <w:rPr>
          <w:lang w:val="en-US"/>
        </w:rPr>
        <w:t xml:space="preserve">~11:12 (t=0), 12:04 (t=1h), </w:t>
      </w:r>
      <w:r w:rsidR="00CD11D1">
        <w:rPr>
          <w:lang w:val="en-US"/>
        </w:rPr>
        <w:t>13:30 (t=2.5h) and 18:06 (t=5h, by Waseem).</w:t>
      </w:r>
      <w:r w:rsidR="00253F0F">
        <w:rPr>
          <w:lang w:val="en-US"/>
        </w:rPr>
        <w:t xml:space="preserve"> </w:t>
      </w:r>
      <w:r w:rsidR="00922BA4">
        <w:rPr>
          <w:lang w:val="en-US"/>
        </w:rPr>
        <w:t xml:space="preserve"> </w:t>
      </w:r>
      <w:r w:rsidR="00CD11D1">
        <w:rPr>
          <w:lang w:val="en-US"/>
        </w:rPr>
        <w:t xml:space="preserve">Results are found in </w:t>
      </w:r>
      <w:r w:rsidR="000A3204">
        <w:rPr>
          <w:lang w:val="en-US"/>
        </w:rPr>
        <w:t xml:space="preserve">the Excel file “proteolysis 26032025”. </w:t>
      </w:r>
    </w:p>
    <w:p w14:paraId="211124D6" w14:textId="3D0814C5" w:rsidR="005717A6" w:rsidRDefault="005717A6" w:rsidP="0072307A">
      <w:pPr>
        <w:tabs>
          <w:tab w:val="left" w:pos="960"/>
        </w:tabs>
        <w:rPr>
          <w:lang w:val="en-US"/>
        </w:rPr>
      </w:pPr>
      <w:r w:rsidRPr="000F7B5B">
        <w:rPr>
          <w:b/>
          <w:bCs/>
          <w:lang w:val="en-US"/>
        </w:rPr>
        <w:t>FCM cell counts</w:t>
      </w:r>
      <w:r>
        <w:rPr>
          <w:lang w:val="en-US"/>
        </w:rPr>
        <w:t xml:space="preserve"> </w:t>
      </w:r>
      <w:r w:rsidR="00D914B3">
        <w:rPr>
          <w:lang w:val="en-US"/>
        </w:rPr>
        <w:t>–</w:t>
      </w:r>
      <w:r>
        <w:rPr>
          <w:lang w:val="en-US"/>
        </w:rPr>
        <w:t xml:space="preserve"> </w:t>
      </w:r>
      <w:r w:rsidR="00D914B3">
        <w:rPr>
          <w:lang w:val="en-US"/>
        </w:rPr>
        <w:t xml:space="preserve">found in the file </w:t>
      </w:r>
      <w:r w:rsidR="00EC18E2">
        <w:rPr>
          <w:lang w:val="en-US"/>
        </w:rPr>
        <w:t>“</w:t>
      </w:r>
      <w:r w:rsidR="00D914B3">
        <w:rPr>
          <w:lang w:val="en-US"/>
        </w:rPr>
        <w:t xml:space="preserve">10CC Osnat and DS” </w:t>
      </w:r>
      <w:r w:rsidR="00EC18E2">
        <w:rPr>
          <w:lang w:val="en-US"/>
        </w:rPr>
        <w:t xml:space="preserve">sent by Dikla </w:t>
      </w:r>
      <w:r w:rsidR="00A318C2">
        <w:rPr>
          <w:lang w:val="en-US"/>
        </w:rPr>
        <w:t xml:space="preserve">by email </w:t>
      </w:r>
      <w:r w:rsidR="00EC18E2">
        <w:rPr>
          <w:lang w:val="en-US"/>
        </w:rPr>
        <w:t xml:space="preserve">on </w:t>
      </w:r>
      <w:r w:rsidR="00A318C2">
        <w:rPr>
          <w:lang w:val="en-US"/>
        </w:rPr>
        <w:t>6/4/25</w:t>
      </w:r>
      <w:r w:rsidR="000F7B5B">
        <w:rPr>
          <w:lang w:val="en-US"/>
        </w:rPr>
        <w:t xml:space="preserve">, copied to the tab “plate counts and setup” and compared with the measurements from the day before. </w:t>
      </w:r>
      <w:r w:rsidR="001F19AC">
        <w:rPr>
          <w:lang w:val="en-US"/>
        </w:rPr>
        <w:t xml:space="preserve">All strains had higher cell counts on the second day, with </w:t>
      </w:r>
      <w:r w:rsidR="0003495A">
        <w:rPr>
          <w:lang w:val="en-US"/>
        </w:rPr>
        <w:t>5 strains were &lt;more or less&gt; on the 1:1 line</w:t>
      </w:r>
      <w:r w:rsidR="001F19AC">
        <w:rPr>
          <w:lang w:val="en-US"/>
        </w:rPr>
        <w:t xml:space="preserve">. There were </w:t>
      </w:r>
      <w:r w:rsidR="0003495A">
        <w:rPr>
          <w:lang w:val="en-US"/>
        </w:rPr>
        <w:t>three exceptions: MED4</w:t>
      </w:r>
      <w:r w:rsidR="00770B92">
        <w:rPr>
          <w:lang w:val="en-US"/>
        </w:rPr>
        <w:t xml:space="preserve">, HP15 and </w:t>
      </w:r>
      <w:r w:rsidR="004579BA">
        <w:rPr>
          <w:lang w:val="en-US"/>
        </w:rPr>
        <w:t xml:space="preserve">Roseo, which were much higher when measured on the second day. This could, in principle, be because the cells had continued to grow, but I </w:t>
      </w:r>
      <w:r w:rsidR="001F19AC">
        <w:rPr>
          <w:lang w:val="en-US"/>
        </w:rPr>
        <w:t xml:space="preserve">am worried that this is (again) a problem with the cell counts, potentially the cultures not having been diluted sufficiently on the first day. Nevertheless, I will continue with the analyses with the new cell counts. </w:t>
      </w:r>
    </w:p>
    <w:p w14:paraId="0EBFC099" w14:textId="66F4513A" w:rsidR="00C53F6D" w:rsidRDefault="00C53F6D" w:rsidP="0072307A">
      <w:pPr>
        <w:tabs>
          <w:tab w:val="left" w:pos="960"/>
        </w:tabs>
        <w:rPr>
          <w:lang w:val="en-US"/>
        </w:rPr>
      </w:pPr>
      <w:r>
        <w:rPr>
          <w:lang w:val="en-US"/>
        </w:rPr>
        <w:t>Since the experiment</w:t>
      </w:r>
      <w:r w:rsidR="00345F83">
        <w:rPr>
          <w:lang w:val="en-US"/>
        </w:rPr>
        <w:t xml:space="preserve"> was performed with the old cell numbers (aiming for 5x10^6 cells/ml) I calculated from the corrected cell numbers what the actual numbers were in the first dilution (</w:t>
      </w:r>
      <w:r w:rsidR="007B7C76">
        <w:rPr>
          <w:lang w:val="en-US"/>
        </w:rPr>
        <w:t xml:space="preserve">cell N3-N10 in the “Cell counts and setup” tab of the Excel file). The numbers ranged from ~5x10^6 to </w:t>
      </w:r>
      <w:r w:rsidR="00F225A5">
        <w:rPr>
          <w:lang w:val="en-US"/>
        </w:rPr>
        <w:t>6x10^7.</w:t>
      </w:r>
      <w:r w:rsidR="007B7C76">
        <w:rPr>
          <w:lang w:val="en-US"/>
        </w:rPr>
        <w:t xml:space="preserve"> </w:t>
      </w:r>
      <w:r w:rsidR="00E00CC0">
        <w:rPr>
          <w:lang w:val="en-US"/>
        </w:rPr>
        <w:t xml:space="preserve"> Copied these to the “plate setup” </w:t>
      </w:r>
      <w:r w:rsidR="00465D71">
        <w:rPr>
          <w:lang w:val="en-US"/>
        </w:rPr>
        <w:t>map.</w:t>
      </w:r>
    </w:p>
    <w:p w14:paraId="4B8C5B62" w14:textId="19AA7EC7" w:rsidR="00465D71" w:rsidRDefault="00465D71" w:rsidP="0072307A">
      <w:pPr>
        <w:tabs>
          <w:tab w:val="left" w:pos="960"/>
        </w:tabs>
        <w:rPr>
          <w:lang w:val="en-US"/>
        </w:rPr>
      </w:pPr>
      <w:r>
        <w:rPr>
          <w:lang w:val="en-US"/>
        </w:rPr>
        <w:t xml:space="preserve">Checked the calibration curves (copied the same analysis from the 25/3/25 file) – all </w:t>
      </w:r>
      <w:r w:rsidR="001952E1">
        <w:rPr>
          <w:lang w:val="en-US"/>
        </w:rPr>
        <w:t xml:space="preserve">time-points </w:t>
      </w:r>
      <w:r>
        <w:rPr>
          <w:lang w:val="en-US"/>
        </w:rPr>
        <w:t>were highly linear (R2&gt;</w:t>
      </w:r>
      <w:r w:rsidR="005873BB">
        <w:rPr>
          <w:lang w:val="en-US"/>
        </w:rPr>
        <w:t xml:space="preserve">0.99 from </w:t>
      </w:r>
      <w:r w:rsidR="005F2B8B">
        <w:rPr>
          <w:lang w:val="en-US"/>
        </w:rPr>
        <w:t>28</w:t>
      </w:r>
      <w:r w:rsidR="001952E1">
        <w:rPr>
          <w:lang w:val="en-US"/>
        </w:rPr>
        <w:t xml:space="preserve">nM to 20uM) with a very similar slope. </w:t>
      </w:r>
    </w:p>
    <w:p w14:paraId="1C8CCEA3" w14:textId="0A7FE802" w:rsidR="00E57CAE" w:rsidRDefault="00E57CAE" w:rsidP="0072307A">
      <w:pPr>
        <w:tabs>
          <w:tab w:val="left" w:pos="960"/>
        </w:tabs>
        <w:rPr>
          <w:lang w:val="en-US"/>
        </w:rPr>
      </w:pPr>
      <w:r>
        <w:rPr>
          <w:lang w:val="en-US"/>
        </w:rPr>
        <w:t xml:space="preserve">(220625) – copied the calibration curves and data from the first analyzed plate to all time-points. Stuff to notice: </w:t>
      </w:r>
      <w:r w:rsidR="004020D7">
        <w:rPr>
          <w:lang w:val="en-US"/>
        </w:rPr>
        <w:t xml:space="preserve">In plate 3, there </w:t>
      </w:r>
      <w:r w:rsidR="00D01E87">
        <w:rPr>
          <w:lang w:val="en-US"/>
        </w:rPr>
        <w:t>was originally</w:t>
      </w:r>
      <w:r w:rsidR="004020D7">
        <w:rPr>
          <w:lang w:val="en-US"/>
        </w:rPr>
        <w:t xml:space="preserve"> clearly activity in the Pseudoalteromonas that </w:t>
      </w:r>
      <w:r w:rsidR="00D01E87">
        <w:rPr>
          <w:lang w:val="en-US"/>
        </w:rPr>
        <w:t>was</w:t>
      </w:r>
      <w:r w:rsidR="004020D7">
        <w:rPr>
          <w:lang w:val="en-US"/>
        </w:rPr>
        <w:t xml:space="preserve"> above background (including after removal of the blank), but the calibration curve calculates a negative result. </w:t>
      </w:r>
      <w:r w:rsidR="00D01E87">
        <w:rPr>
          <w:lang w:val="en-US"/>
        </w:rPr>
        <w:t>The problem was a mistake in assigning the correct blank.</w:t>
      </w:r>
    </w:p>
    <w:p w14:paraId="5D08C748" w14:textId="640AC632" w:rsidR="00D92A88" w:rsidRDefault="00D92A88" w:rsidP="0072307A">
      <w:pPr>
        <w:tabs>
          <w:tab w:val="left" w:pos="960"/>
        </w:tabs>
        <w:rPr>
          <w:lang w:val="en-US"/>
        </w:rPr>
      </w:pPr>
      <w:r>
        <w:rPr>
          <w:lang w:val="en-US"/>
        </w:rPr>
        <w:t xml:space="preserve">There was clearly enzymatic activity observed already at t=0 in plates 1 and </w:t>
      </w:r>
      <w:r w:rsidR="002078D4">
        <w:rPr>
          <w:lang w:val="en-US"/>
        </w:rPr>
        <w:t>3 – disregarding these data?</w:t>
      </w:r>
    </w:p>
    <w:p w14:paraId="446D1190" w14:textId="5E0AFCEA" w:rsidR="007924AB" w:rsidRDefault="003B5B3A" w:rsidP="0072307A">
      <w:pPr>
        <w:tabs>
          <w:tab w:val="left" w:pos="960"/>
        </w:tabs>
        <w:rPr>
          <w:lang w:val="en-US"/>
        </w:rPr>
      </w:pPr>
      <w:r>
        <w:rPr>
          <w:lang w:val="en-US"/>
        </w:rPr>
        <w:t>Results summary:</w:t>
      </w:r>
    </w:p>
    <w:p w14:paraId="105CD25E" w14:textId="302DA622" w:rsidR="007600A5" w:rsidRDefault="007600A5" w:rsidP="0072307A">
      <w:pPr>
        <w:tabs>
          <w:tab w:val="left" w:pos="960"/>
        </w:tabs>
        <w:rPr>
          <w:lang w:val="en-US"/>
        </w:rPr>
      </w:pPr>
      <w:r w:rsidRPr="007600A5">
        <w:rPr>
          <w:b/>
          <w:bCs/>
          <w:lang w:val="en-US"/>
        </w:rPr>
        <w:t>Leucine aminopeptidase</w:t>
      </w:r>
      <w:r w:rsidR="003B5B3A">
        <w:rPr>
          <w:lang w:val="en-US"/>
        </w:rPr>
        <w:t xml:space="preserve">: There was strong leucine aminopeptidase activity already at t=0, </w:t>
      </w:r>
      <w:r w:rsidR="00075887">
        <w:rPr>
          <w:lang w:val="en-US"/>
        </w:rPr>
        <w:t xml:space="preserve">and relatively little difference over time – potentially a small decline in Pseudoalteromonas and increases in </w:t>
      </w:r>
      <w:r w:rsidR="001A40ED">
        <w:rPr>
          <w:lang w:val="en-US"/>
        </w:rPr>
        <w:t xml:space="preserve">the strains with low activity – Sulfitobacter, Marinovum and Marinobacter. </w:t>
      </w:r>
      <w:r w:rsidR="00831085">
        <w:rPr>
          <w:lang w:val="en-US"/>
        </w:rPr>
        <w:t>In Marinovum and Marinobacter the measurements were clearly above background only after almost 7 hours incubation.</w:t>
      </w:r>
      <w:r w:rsidR="00800D12">
        <w:rPr>
          <w:lang w:val="en-US"/>
        </w:rPr>
        <w:t xml:space="preserve"> </w:t>
      </w:r>
      <w:r w:rsidR="00325F9A">
        <w:rPr>
          <w:lang w:val="en-US"/>
        </w:rPr>
        <w:t xml:space="preserve">This suggests that ecto-acting aminopeptidase is the strongest </w:t>
      </w:r>
      <w:r w:rsidR="00DF36A2">
        <w:rPr>
          <w:lang w:val="en-US"/>
        </w:rPr>
        <w:t xml:space="preserve">activity, which is also supported by </w:t>
      </w:r>
      <w:r w:rsidR="00DF36A2">
        <w:rPr>
          <w:lang w:val="en-US"/>
        </w:rPr>
        <w:lastRenderedPageBreak/>
        <w:t xml:space="preserve">the actual values (up to 0.4 fmole substrate cell-1 h-1 </w:t>
      </w:r>
      <w:r w:rsidR="0097165A">
        <w:rPr>
          <w:lang w:val="en-US"/>
        </w:rPr>
        <w:t>–</w:t>
      </w:r>
      <w:r w:rsidR="00DF36A2">
        <w:rPr>
          <w:lang w:val="en-US"/>
        </w:rPr>
        <w:t xml:space="preserve"> </w:t>
      </w:r>
      <w:r w:rsidR="0097165A">
        <w:rPr>
          <w:lang w:val="en-US"/>
        </w:rPr>
        <w:t xml:space="preserve">10-fold higher than any activity except chemotrypsin on Alteromonas, which was ~3-fold lower in the ~7h incubation. </w:t>
      </w:r>
    </w:p>
    <w:p w14:paraId="12BD4950" w14:textId="5DA4786F" w:rsidR="003B5B3A" w:rsidRDefault="0067204E" w:rsidP="0072307A">
      <w:pPr>
        <w:tabs>
          <w:tab w:val="left" w:pos="960"/>
        </w:tabs>
        <w:rPr>
          <w:lang w:val="en-US"/>
        </w:rPr>
      </w:pPr>
      <w:r w:rsidRPr="007600A5">
        <w:rPr>
          <w:b/>
          <w:bCs/>
          <w:lang w:val="en-US"/>
        </w:rPr>
        <w:t>Endo-acting (chemotrypsin) activity</w:t>
      </w:r>
      <w:r>
        <w:rPr>
          <w:lang w:val="en-US"/>
        </w:rPr>
        <w:t xml:space="preserve"> was only observed after 2.3 hours, and then only in Alteromonas. </w:t>
      </w:r>
      <w:r w:rsidR="00D373C9">
        <w:rPr>
          <w:lang w:val="en-US"/>
        </w:rPr>
        <w:t xml:space="preserve">It took almost 7 hours to observe activity in Pseudoalteromonoas and Phaboacter. </w:t>
      </w:r>
      <w:r w:rsidR="009F60FC">
        <w:rPr>
          <w:lang w:val="en-US"/>
        </w:rPr>
        <w:t xml:space="preserve">There was positive fluorescence </w:t>
      </w:r>
      <w:r w:rsidR="009255BE">
        <w:rPr>
          <w:lang w:val="en-US"/>
        </w:rPr>
        <w:t xml:space="preserve">already at 2.3 hours in Alteromonas, Pseudoalteromonas and </w:t>
      </w:r>
      <w:r w:rsidR="00C452F2">
        <w:rPr>
          <w:lang w:val="en-US"/>
        </w:rPr>
        <w:t>Phaeobacter, but this was translated to a negative concentration</w:t>
      </w:r>
      <w:r w:rsidR="00AF0C97">
        <w:rPr>
          <w:lang w:val="en-US"/>
        </w:rPr>
        <w:t xml:space="preserve"> in all strains but Alteromonas. </w:t>
      </w:r>
      <w:r w:rsidR="00360B1B">
        <w:rPr>
          <w:lang w:val="en-US"/>
        </w:rPr>
        <w:t xml:space="preserve">If the calibration curve was modified to </w:t>
      </w:r>
      <w:r w:rsidR="00EB05D3">
        <w:rPr>
          <w:lang w:val="en-US"/>
        </w:rPr>
        <w:t xml:space="preserve">use only </w:t>
      </w:r>
      <w:r w:rsidR="00D329AC">
        <w:rPr>
          <w:lang w:val="en-US"/>
        </w:rPr>
        <w:t>up to 6uM, the R2 was higher and the intercept lower</w:t>
      </w:r>
      <w:r w:rsidR="002263EE">
        <w:rPr>
          <w:lang w:val="en-US"/>
        </w:rPr>
        <w:t xml:space="preserve"> the </w:t>
      </w:r>
      <w:r w:rsidR="00E0205B">
        <w:rPr>
          <w:lang w:val="en-US"/>
        </w:rPr>
        <w:t xml:space="preserve">graphs were closer to the observed – e.g. now Pseudoalteromonas </w:t>
      </w:r>
      <w:r w:rsidR="00662515">
        <w:rPr>
          <w:lang w:val="en-US"/>
        </w:rPr>
        <w:t xml:space="preserve">and Phaobacter </w:t>
      </w:r>
      <w:r w:rsidR="00E0205B">
        <w:rPr>
          <w:lang w:val="en-US"/>
        </w:rPr>
        <w:t>had measurable activity at t=2.3</w:t>
      </w:r>
      <w:r w:rsidR="00662515">
        <w:rPr>
          <w:lang w:val="en-US"/>
        </w:rPr>
        <w:t xml:space="preserve">, so I used the modified curve for all plots. Notably, the activity increase </w:t>
      </w:r>
      <w:r w:rsidR="0015389B">
        <w:rPr>
          <w:lang w:val="en-US"/>
        </w:rPr>
        <w:t xml:space="preserve">in all strains </w:t>
      </w:r>
      <w:r w:rsidR="00662515">
        <w:rPr>
          <w:lang w:val="en-US"/>
        </w:rPr>
        <w:t>also between 2.3 to 6.8h</w:t>
      </w:r>
      <w:r w:rsidR="0015389B">
        <w:rPr>
          <w:lang w:val="en-US"/>
        </w:rPr>
        <w:t xml:space="preserve">, although not other strain increased above background noise. It seems that this </w:t>
      </w:r>
      <w:r w:rsidR="001C3634">
        <w:rPr>
          <w:lang w:val="en-US"/>
        </w:rPr>
        <w:t>activity is low but potentially still there in other organisms.</w:t>
      </w:r>
      <w:r w:rsidR="00B36087">
        <w:rPr>
          <w:lang w:val="en-US"/>
        </w:rPr>
        <w:t xml:space="preserve"> </w:t>
      </w:r>
    </w:p>
    <w:p w14:paraId="7512A9A0" w14:textId="59261986" w:rsidR="00325F9A" w:rsidRDefault="00325F9A" w:rsidP="0072307A">
      <w:pPr>
        <w:tabs>
          <w:tab w:val="left" w:pos="960"/>
        </w:tabs>
        <w:rPr>
          <w:lang w:val="en-US"/>
        </w:rPr>
      </w:pPr>
      <w:r w:rsidRPr="00325F9A">
        <w:rPr>
          <w:b/>
          <w:bCs/>
          <w:lang w:val="en-US"/>
        </w:rPr>
        <w:t>Endo-actiing (Trypsin) activity</w:t>
      </w:r>
      <w:r>
        <w:rPr>
          <w:lang w:val="en-US"/>
        </w:rPr>
        <w:t xml:space="preserve"> was only observed after at least 2.3 hours, but increased only slightly there. </w:t>
      </w:r>
    </w:p>
    <w:p w14:paraId="29A05F7C" w14:textId="5C7F5FE2" w:rsidR="00DE09A0" w:rsidRDefault="00DE09A0" w:rsidP="0072307A">
      <w:pPr>
        <w:tabs>
          <w:tab w:val="left" w:pos="960"/>
        </w:tabs>
        <w:rPr>
          <w:lang w:val="en-US"/>
        </w:rPr>
      </w:pPr>
      <w:r w:rsidRPr="00DE09A0">
        <w:rPr>
          <w:b/>
          <w:bCs/>
          <w:lang w:val="en-US"/>
        </w:rPr>
        <w:t>Overall summary</w:t>
      </w:r>
      <w:r>
        <w:rPr>
          <w:lang w:val="en-US"/>
        </w:rPr>
        <w:t xml:space="preserve">: </w:t>
      </w:r>
      <w:r w:rsidR="00BC6E6E">
        <w:rPr>
          <w:lang w:val="en-US"/>
        </w:rPr>
        <w:t>I chose to use the 2.3h data, since ~7 could be considered too long, with potential mechanisms such as cell lysis coming into play. The only major difference if using the 7h data would be a higher chemotrypsin activity in Alteromonas.</w:t>
      </w:r>
    </w:p>
    <w:p w14:paraId="7785DE0B" w14:textId="6AA1D6F4" w:rsidR="00BC6E6E" w:rsidRDefault="00B6097E" w:rsidP="0072307A">
      <w:pPr>
        <w:tabs>
          <w:tab w:val="left" w:pos="960"/>
        </w:tabs>
        <w:rPr>
          <w:lang w:val="en-US"/>
        </w:rPr>
      </w:pPr>
      <w:r w:rsidRPr="00CF6F73">
        <w:rPr>
          <w:b/>
          <w:bCs/>
          <w:lang w:val="en-US"/>
        </w:rPr>
        <w:t>The “strong” phenotype organisms, Alteromonas and Pseudoalteromonas, had the highest per-cell activity</w:t>
      </w:r>
      <w:r w:rsidR="00B814F4" w:rsidRPr="00CF6F73">
        <w:rPr>
          <w:b/>
          <w:bCs/>
          <w:lang w:val="en-US"/>
        </w:rPr>
        <w:t xml:space="preserve"> in the Leucine aminopeptidase assay, followed by Phaeobacter (inhibitory)</w:t>
      </w:r>
      <w:r w:rsidR="004255FC" w:rsidRPr="00CF6F73">
        <w:rPr>
          <w:b/>
          <w:bCs/>
          <w:lang w:val="en-US"/>
        </w:rPr>
        <w:t>.</w:t>
      </w:r>
      <w:r w:rsidR="004255FC">
        <w:rPr>
          <w:lang w:val="en-US"/>
        </w:rPr>
        <w:t xml:space="preserve"> All other strains had much lower (5-10 fold) activity.</w:t>
      </w:r>
      <w:r w:rsidR="001B5200">
        <w:rPr>
          <w:lang w:val="en-US"/>
        </w:rPr>
        <w:t xml:space="preserve"> This was consistent with the experiment performed on the previous day, although here the activity of some other strains was also high (</w:t>
      </w:r>
      <w:r w:rsidR="00B80900">
        <w:rPr>
          <w:lang w:val="en-US"/>
        </w:rPr>
        <w:t>Roseovarius, Marinobacter). This could be due to problems in the cell counting or to a change between cells right after transfer to seawater and those starved for 24h (activity, viability).</w:t>
      </w:r>
      <w:r w:rsidR="006B074E">
        <w:rPr>
          <w:lang w:val="en-US"/>
        </w:rPr>
        <w:t xml:space="preserve"> </w:t>
      </w:r>
      <w:r w:rsidR="006B074E" w:rsidRPr="00CF6F73">
        <w:rPr>
          <w:b/>
          <w:bCs/>
          <w:lang w:val="en-US"/>
        </w:rPr>
        <w:t>A similar pattern was observed in the endo-acting (chemotrypsin) activity</w:t>
      </w:r>
      <w:r w:rsidR="00CF6F73" w:rsidRPr="00CF6F73">
        <w:rPr>
          <w:b/>
          <w:bCs/>
          <w:lang w:val="en-US"/>
        </w:rPr>
        <w:t>, where these three strains were the only ones above LOD</w:t>
      </w:r>
      <w:r w:rsidR="00CF6F73">
        <w:rPr>
          <w:lang w:val="en-US"/>
        </w:rPr>
        <w:t>.</w:t>
      </w:r>
      <w:r w:rsidR="0009214E">
        <w:rPr>
          <w:lang w:val="en-US"/>
        </w:rPr>
        <w:t xml:space="preserve"> </w:t>
      </w:r>
      <w:r w:rsidR="0009214E" w:rsidRPr="00C72D22">
        <w:rPr>
          <w:b/>
          <w:bCs/>
          <w:lang w:val="en-US"/>
        </w:rPr>
        <w:t xml:space="preserve">Alteromonas and Pseudoalteromonas also had measurable Endo-acting (Trypsin) activity, </w:t>
      </w:r>
      <w:r w:rsidR="002D1FC7" w:rsidRPr="00C72D22">
        <w:rPr>
          <w:b/>
          <w:bCs/>
          <w:lang w:val="en-US"/>
        </w:rPr>
        <w:t>although here Marinovum (weak) had a higher activity</w:t>
      </w:r>
      <w:r w:rsidR="002D1FC7">
        <w:rPr>
          <w:lang w:val="en-US"/>
        </w:rPr>
        <w:t xml:space="preserve">. Sulfitobacter, </w:t>
      </w:r>
      <w:r w:rsidR="00C72D22">
        <w:rPr>
          <w:lang w:val="en-US"/>
        </w:rPr>
        <w:t xml:space="preserve">Roseovarius, Marinobacter and Prochlorococcus MED4 had low or unmeasurable activity in all proteolytic assays under these conditions. </w:t>
      </w:r>
      <w:r w:rsidR="00C72D22" w:rsidRPr="002B5AA0">
        <w:rPr>
          <w:b/>
          <w:bCs/>
          <w:lang w:val="en-US"/>
        </w:rPr>
        <w:t>Therefore, overall, there seemed to be a</w:t>
      </w:r>
      <w:r w:rsidR="002B5AA0" w:rsidRPr="002B5AA0">
        <w:rPr>
          <w:b/>
          <w:bCs/>
          <w:lang w:val="en-US"/>
        </w:rPr>
        <w:t>n agreement between proteolytic activity and co-culture phenotype</w:t>
      </w:r>
      <w:r w:rsidR="002B5AA0"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11B" w14:paraId="198A737F" w14:textId="77777777">
        <w:tc>
          <w:tcPr>
            <w:tcW w:w="9016" w:type="dxa"/>
          </w:tcPr>
          <w:p w14:paraId="1606AF94" w14:textId="166F30CF" w:rsidR="00D4711B" w:rsidRDefault="00D4711B" w:rsidP="0072307A">
            <w:pPr>
              <w:tabs>
                <w:tab w:val="left" w:pos="960"/>
              </w:tabs>
              <w:rPr>
                <w:rFonts w:hint="cs"/>
                <w:lang w:val="en-US"/>
              </w:rPr>
            </w:pPr>
            <w:r w:rsidRPr="00D4711B">
              <w:rPr>
                <w:lang w:val="en-US"/>
              </w:rPr>
              <w:lastRenderedPageBreak/>
              <w:drawing>
                <wp:inline distT="0" distB="0" distL="0" distR="0" wp14:anchorId="42B037E3" wp14:editId="7D5CCC43">
                  <wp:extent cx="5731510" cy="3674745"/>
                  <wp:effectExtent l="0" t="0" r="2540" b="1905"/>
                  <wp:docPr id="934724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7244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11B" w14:paraId="3CDD74A6" w14:textId="77777777">
        <w:tc>
          <w:tcPr>
            <w:tcW w:w="9016" w:type="dxa"/>
          </w:tcPr>
          <w:p w14:paraId="6F7D817C" w14:textId="6959A975" w:rsidR="00D4711B" w:rsidRDefault="00D4711B" w:rsidP="0072307A">
            <w:pPr>
              <w:tabs>
                <w:tab w:val="left" w:pos="960"/>
              </w:tabs>
              <w:rPr>
                <w:rFonts w:hint="cs"/>
                <w:lang w:val="en-US"/>
              </w:rPr>
            </w:pPr>
            <w:r>
              <w:rPr>
                <w:lang w:val="en-US"/>
              </w:rPr>
              <w:t>Figure 3 – proteolytic activity after 24h. Different color bars show different incubation times. The upper-right panel is Figure 2 (experiment performed previous day), for comparison.</w:t>
            </w:r>
          </w:p>
        </w:tc>
      </w:tr>
    </w:tbl>
    <w:p w14:paraId="4F0FB6FF" w14:textId="77777777" w:rsidR="00D4711B" w:rsidRPr="0072307A" w:rsidRDefault="00D4711B" w:rsidP="0072307A">
      <w:pPr>
        <w:tabs>
          <w:tab w:val="left" w:pos="960"/>
        </w:tabs>
        <w:rPr>
          <w:rFonts w:hint="cs"/>
          <w:rtl/>
          <w:lang w:val="en-US"/>
        </w:rPr>
      </w:pPr>
    </w:p>
    <w:sectPr w:rsidR="00D4711B" w:rsidRPr="0072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דניאל שר" w:date="2025-03-26T08:33:00Z" w:initials="DS">
    <w:p w14:paraId="6A1515D4" w14:textId="77777777" w:rsidR="00A04034" w:rsidRDefault="00A04034" w:rsidP="00A04034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Should be in units of moles cell-1 h-1. The 5,000,000 cells are per ml. If we divide by 5 (volume was 200ul) we get the right units. Need to check pmole or fmole (fM divided by cells/ml)</w:t>
      </w:r>
    </w:p>
    <w:p w14:paraId="5636A1B6" w14:textId="77777777" w:rsidR="00A04034" w:rsidRDefault="00A04034" w:rsidP="00A0403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36A1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699084" w16cex:dateUtc="2025-03-26T06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36A1B6" w16cid:durableId="336990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37ECF"/>
    <w:multiLevelType w:val="hybridMultilevel"/>
    <w:tmpl w:val="DD52487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E378C"/>
    <w:multiLevelType w:val="hybridMultilevel"/>
    <w:tmpl w:val="6D0A7D7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E6D7F"/>
    <w:multiLevelType w:val="hybridMultilevel"/>
    <w:tmpl w:val="FB50F0F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D4EB3"/>
    <w:multiLevelType w:val="hybridMultilevel"/>
    <w:tmpl w:val="B1E4283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99690">
    <w:abstractNumId w:val="0"/>
  </w:num>
  <w:num w:numId="2" w16cid:durableId="1699627250">
    <w:abstractNumId w:val="1"/>
  </w:num>
  <w:num w:numId="3" w16cid:durableId="1820269285">
    <w:abstractNumId w:val="2"/>
  </w:num>
  <w:num w:numId="4" w16cid:durableId="120976069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דניאל שר">
    <w15:presenceInfo w15:providerId="AD" w15:userId="S::dsher@univ.haifa.ac.il::76184611-3f43-4117-baca-bc673ff4fd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B3"/>
    <w:rsid w:val="000163F0"/>
    <w:rsid w:val="0003495A"/>
    <w:rsid w:val="00054BB6"/>
    <w:rsid w:val="00062D5F"/>
    <w:rsid w:val="00075887"/>
    <w:rsid w:val="0009214E"/>
    <w:rsid w:val="000A3204"/>
    <w:rsid w:val="000D2BB3"/>
    <w:rsid w:val="000D4194"/>
    <w:rsid w:val="000E3AE0"/>
    <w:rsid w:val="000E4D22"/>
    <w:rsid w:val="000F7B5B"/>
    <w:rsid w:val="001138D9"/>
    <w:rsid w:val="00115EF5"/>
    <w:rsid w:val="00122E5A"/>
    <w:rsid w:val="0014551E"/>
    <w:rsid w:val="0015389B"/>
    <w:rsid w:val="0015692D"/>
    <w:rsid w:val="00175751"/>
    <w:rsid w:val="00182894"/>
    <w:rsid w:val="00183F5A"/>
    <w:rsid w:val="001952E1"/>
    <w:rsid w:val="001A40ED"/>
    <w:rsid w:val="001B5200"/>
    <w:rsid w:val="001C3634"/>
    <w:rsid w:val="001F19AC"/>
    <w:rsid w:val="002003E7"/>
    <w:rsid w:val="0020775C"/>
    <w:rsid w:val="002078D4"/>
    <w:rsid w:val="00221569"/>
    <w:rsid w:val="002263EE"/>
    <w:rsid w:val="002331E3"/>
    <w:rsid w:val="00233E1E"/>
    <w:rsid w:val="00234E3C"/>
    <w:rsid w:val="00241663"/>
    <w:rsid w:val="0024690D"/>
    <w:rsid w:val="002474DA"/>
    <w:rsid w:val="00252686"/>
    <w:rsid w:val="00253F0F"/>
    <w:rsid w:val="00277130"/>
    <w:rsid w:val="0029691E"/>
    <w:rsid w:val="002A7054"/>
    <w:rsid w:val="002A7869"/>
    <w:rsid w:val="002B5AA0"/>
    <w:rsid w:val="002C3F58"/>
    <w:rsid w:val="002D1FC7"/>
    <w:rsid w:val="002D7B51"/>
    <w:rsid w:val="00307800"/>
    <w:rsid w:val="00310E84"/>
    <w:rsid w:val="00325F9A"/>
    <w:rsid w:val="00334643"/>
    <w:rsid w:val="00345F83"/>
    <w:rsid w:val="00360B1B"/>
    <w:rsid w:val="00381B18"/>
    <w:rsid w:val="003B5B3A"/>
    <w:rsid w:val="00401AD5"/>
    <w:rsid w:val="004020D7"/>
    <w:rsid w:val="004075D7"/>
    <w:rsid w:val="004255FC"/>
    <w:rsid w:val="004343E1"/>
    <w:rsid w:val="0044620A"/>
    <w:rsid w:val="00453993"/>
    <w:rsid w:val="004579BA"/>
    <w:rsid w:val="00462F7D"/>
    <w:rsid w:val="00465D71"/>
    <w:rsid w:val="00475C0E"/>
    <w:rsid w:val="00477384"/>
    <w:rsid w:val="0048693A"/>
    <w:rsid w:val="00487083"/>
    <w:rsid w:val="004D2340"/>
    <w:rsid w:val="004E7494"/>
    <w:rsid w:val="005174E5"/>
    <w:rsid w:val="00527937"/>
    <w:rsid w:val="00546F95"/>
    <w:rsid w:val="00553B5C"/>
    <w:rsid w:val="00560311"/>
    <w:rsid w:val="005717A6"/>
    <w:rsid w:val="005873BB"/>
    <w:rsid w:val="005B6D6F"/>
    <w:rsid w:val="005C44D3"/>
    <w:rsid w:val="005D1164"/>
    <w:rsid w:val="005D3E2E"/>
    <w:rsid w:val="005E292E"/>
    <w:rsid w:val="005F2B8B"/>
    <w:rsid w:val="005F3EB3"/>
    <w:rsid w:val="00617302"/>
    <w:rsid w:val="00623B70"/>
    <w:rsid w:val="00626766"/>
    <w:rsid w:val="00662515"/>
    <w:rsid w:val="00665F50"/>
    <w:rsid w:val="0067204E"/>
    <w:rsid w:val="00672A17"/>
    <w:rsid w:val="006B074E"/>
    <w:rsid w:val="006B1E55"/>
    <w:rsid w:val="006C5C07"/>
    <w:rsid w:val="006D53AC"/>
    <w:rsid w:val="00711C51"/>
    <w:rsid w:val="00715DA8"/>
    <w:rsid w:val="0072307A"/>
    <w:rsid w:val="00736200"/>
    <w:rsid w:val="007600A5"/>
    <w:rsid w:val="00763C5E"/>
    <w:rsid w:val="007676CB"/>
    <w:rsid w:val="00770B92"/>
    <w:rsid w:val="007924AB"/>
    <w:rsid w:val="007B7C76"/>
    <w:rsid w:val="007C09BB"/>
    <w:rsid w:val="007F28B0"/>
    <w:rsid w:val="00800D12"/>
    <w:rsid w:val="00807E41"/>
    <w:rsid w:val="00831085"/>
    <w:rsid w:val="008517A0"/>
    <w:rsid w:val="0085660D"/>
    <w:rsid w:val="00862B00"/>
    <w:rsid w:val="00877890"/>
    <w:rsid w:val="00881267"/>
    <w:rsid w:val="008B5499"/>
    <w:rsid w:val="008B7748"/>
    <w:rsid w:val="008C3035"/>
    <w:rsid w:val="008D7444"/>
    <w:rsid w:val="008F45F3"/>
    <w:rsid w:val="00922BA4"/>
    <w:rsid w:val="00922ED5"/>
    <w:rsid w:val="009255BE"/>
    <w:rsid w:val="00933844"/>
    <w:rsid w:val="00951434"/>
    <w:rsid w:val="0097165A"/>
    <w:rsid w:val="009C76E0"/>
    <w:rsid w:val="009E3E89"/>
    <w:rsid w:val="009F60FC"/>
    <w:rsid w:val="00A04034"/>
    <w:rsid w:val="00A04988"/>
    <w:rsid w:val="00A318C2"/>
    <w:rsid w:val="00A3314C"/>
    <w:rsid w:val="00A41939"/>
    <w:rsid w:val="00A43789"/>
    <w:rsid w:val="00AD3DF9"/>
    <w:rsid w:val="00AF0C97"/>
    <w:rsid w:val="00AF6292"/>
    <w:rsid w:val="00B232FD"/>
    <w:rsid w:val="00B36087"/>
    <w:rsid w:val="00B6097E"/>
    <w:rsid w:val="00B80900"/>
    <w:rsid w:val="00B814F4"/>
    <w:rsid w:val="00B8243B"/>
    <w:rsid w:val="00BB0BBE"/>
    <w:rsid w:val="00BC6E6E"/>
    <w:rsid w:val="00C16F84"/>
    <w:rsid w:val="00C25EF7"/>
    <w:rsid w:val="00C32C25"/>
    <w:rsid w:val="00C351E0"/>
    <w:rsid w:val="00C452F2"/>
    <w:rsid w:val="00C47733"/>
    <w:rsid w:val="00C53F6D"/>
    <w:rsid w:val="00C72D22"/>
    <w:rsid w:val="00C87B00"/>
    <w:rsid w:val="00C95789"/>
    <w:rsid w:val="00CC0B54"/>
    <w:rsid w:val="00CD11D1"/>
    <w:rsid w:val="00CD1CB1"/>
    <w:rsid w:val="00CF513A"/>
    <w:rsid w:val="00CF6F73"/>
    <w:rsid w:val="00D01E87"/>
    <w:rsid w:val="00D12ADA"/>
    <w:rsid w:val="00D16B23"/>
    <w:rsid w:val="00D329AC"/>
    <w:rsid w:val="00D33A5A"/>
    <w:rsid w:val="00D373C9"/>
    <w:rsid w:val="00D4711B"/>
    <w:rsid w:val="00D87F86"/>
    <w:rsid w:val="00D914B3"/>
    <w:rsid w:val="00D92A88"/>
    <w:rsid w:val="00DB6B12"/>
    <w:rsid w:val="00DC208F"/>
    <w:rsid w:val="00DE09A0"/>
    <w:rsid w:val="00DE6337"/>
    <w:rsid w:val="00DF36A2"/>
    <w:rsid w:val="00DF760F"/>
    <w:rsid w:val="00E00CC0"/>
    <w:rsid w:val="00E01963"/>
    <w:rsid w:val="00E0205B"/>
    <w:rsid w:val="00E22258"/>
    <w:rsid w:val="00E35FE6"/>
    <w:rsid w:val="00E4444F"/>
    <w:rsid w:val="00E54230"/>
    <w:rsid w:val="00E57CAE"/>
    <w:rsid w:val="00E75F9D"/>
    <w:rsid w:val="00E965B3"/>
    <w:rsid w:val="00EB05D3"/>
    <w:rsid w:val="00EB4471"/>
    <w:rsid w:val="00EC009E"/>
    <w:rsid w:val="00EC18E2"/>
    <w:rsid w:val="00ED4755"/>
    <w:rsid w:val="00EF554C"/>
    <w:rsid w:val="00F00ED4"/>
    <w:rsid w:val="00F067EA"/>
    <w:rsid w:val="00F1777D"/>
    <w:rsid w:val="00F225A5"/>
    <w:rsid w:val="00F350C2"/>
    <w:rsid w:val="00F40152"/>
    <w:rsid w:val="00F771C8"/>
    <w:rsid w:val="00FA606E"/>
    <w:rsid w:val="00FA7C84"/>
    <w:rsid w:val="00FC14C2"/>
    <w:rsid w:val="00FD05F1"/>
    <w:rsid w:val="00FF4C8B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E9FDA7"/>
  <w15:chartTrackingRefBased/>
  <w15:docId w15:val="{91F4ED40-72F3-43E0-9CE0-4CEA4835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E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04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0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0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microsoft.com/office/2011/relationships/commentsExtended" Target="commentsExtended.xml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omments" Target="comments.xm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8</Pages>
  <Words>1997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שר</dc:creator>
  <cp:keywords/>
  <dc:description/>
  <cp:lastModifiedBy>דניאל שר</cp:lastModifiedBy>
  <cp:revision>106</cp:revision>
  <cp:lastPrinted>2025-03-25T11:14:00Z</cp:lastPrinted>
  <dcterms:created xsi:type="dcterms:W3CDTF">2025-06-19T12:11:00Z</dcterms:created>
  <dcterms:modified xsi:type="dcterms:W3CDTF">2025-06-22T13:51:00Z</dcterms:modified>
</cp:coreProperties>
</file>