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3"/>
        <w:gridCol w:w="1483"/>
        <w:gridCol w:w="2454"/>
        <w:gridCol w:w="1902"/>
      </w:tblGrid>
      <w:tr w:rsidR="00DA1DCF" w:rsidRPr="001839D0" w:rsidTr="000D4D6D">
        <w:trPr>
          <w:trHeight w:hRule="exact" w:val="397"/>
        </w:trPr>
        <w:tc>
          <w:tcPr>
            <w:tcW w:w="1574" w:type="pct"/>
            <w:vMerge w:val="restart"/>
            <w:noWrap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0D4D6D">
              <w:rPr>
                <w:rFonts w:cstheme="majorBidi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870" w:type="pct"/>
            <w:vMerge w:val="restar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0D4D6D">
              <w:rPr>
                <w:rFonts w:cstheme="majorBidi"/>
                <w:b/>
                <w:bCs/>
                <w:sz w:val="24"/>
                <w:szCs w:val="24"/>
              </w:rPr>
              <w:t>Raw reads</w:t>
            </w:r>
          </w:p>
        </w:tc>
        <w:tc>
          <w:tcPr>
            <w:tcW w:w="2556" w:type="pct"/>
            <w:gridSpan w:val="2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0D4D6D">
              <w:rPr>
                <w:rFonts w:cstheme="majorBidi"/>
                <w:b/>
                <w:bCs/>
                <w:sz w:val="24"/>
                <w:szCs w:val="24"/>
              </w:rPr>
              <w:t>Reads mapped uniquely to</w:t>
            </w:r>
          </w:p>
        </w:tc>
      </w:tr>
      <w:tr w:rsidR="00DA1DCF" w:rsidRPr="001839D0" w:rsidTr="000D4D6D">
        <w:trPr>
          <w:trHeight w:hRule="exact" w:val="397"/>
        </w:trPr>
        <w:tc>
          <w:tcPr>
            <w:tcW w:w="1574" w:type="pct"/>
            <w:vMerge/>
            <w:hideMark/>
          </w:tcPr>
          <w:p w:rsidR="00DA1DCF" w:rsidRPr="000D4D6D" w:rsidRDefault="00DA1DCF" w:rsidP="00075CC9">
            <w:pPr>
              <w:spacing w:line="480" w:lineRule="auto"/>
              <w:jc w:val="right"/>
              <w:rPr>
                <w:rFonts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70" w:type="pct"/>
            <w:vMerge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4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0D4D6D">
              <w:rPr>
                <w:rFonts w:cstheme="majorBidi"/>
                <w:b/>
                <w:bCs/>
                <w:sz w:val="24"/>
                <w:szCs w:val="24"/>
              </w:rPr>
              <w:t>Prochlorococcus</w:t>
            </w:r>
          </w:p>
        </w:tc>
        <w:tc>
          <w:tcPr>
            <w:tcW w:w="1116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b/>
                <w:bCs/>
                <w:sz w:val="24"/>
                <w:szCs w:val="24"/>
              </w:rPr>
            </w:pPr>
            <w:r w:rsidRPr="000D4D6D">
              <w:rPr>
                <w:rFonts w:cstheme="majorBidi"/>
                <w:b/>
                <w:bCs/>
                <w:sz w:val="24"/>
                <w:szCs w:val="24"/>
              </w:rPr>
              <w:t>Alteromonas</w:t>
            </w:r>
          </w:p>
        </w:tc>
      </w:tr>
      <w:tr w:rsidR="00DA1DCF" w:rsidRPr="001839D0" w:rsidTr="000D4D6D">
        <w:trPr>
          <w:trHeight w:hRule="exact" w:val="397"/>
        </w:trPr>
        <w:tc>
          <w:tcPr>
            <w:tcW w:w="1574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9313  1</w:t>
            </w:r>
          </w:p>
        </w:tc>
        <w:tc>
          <w:tcPr>
            <w:tcW w:w="87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12,837,336</w:t>
            </w:r>
          </w:p>
        </w:tc>
        <w:tc>
          <w:tcPr>
            <w:tcW w:w="144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9,047,467</w:t>
            </w:r>
          </w:p>
        </w:tc>
        <w:tc>
          <w:tcPr>
            <w:tcW w:w="1116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24,965</w:t>
            </w:r>
          </w:p>
        </w:tc>
      </w:tr>
      <w:tr w:rsidR="00DA1DCF" w:rsidRPr="001839D0" w:rsidTr="000D4D6D">
        <w:trPr>
          <w:trHeight w:hRule="exact" w:val="397"/>
        </w:trPr>
        <w:tc>
          <w:tcPr>
            <w:tcW w:w="1574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9313  2</w:t>
            </w:r>
          </w:p>
        </w:tc>
        <w:tc>
          <w:tcPr>
            <w:tcW w:w="87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11,470,536</w:t>
            </w:r>
          </w:p>
        </w:tc>
        <w:tc>
          <w:tcPr>
            <w:tcW w:w="144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7,763,792</w:t>
            </w:r>
          </w:p>
        </w:tc>
        <w:tc>
          <w:tcPr>
            <w:tcW w:w="1116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1,454</w:t>
            </w:r>
          </w:p>
        </w:tc>
      </w:tr>
      <w:tr w:rsidR="00DA1DCF" w:rsidRPr="001839D0" w:rsidTr="000D4D6D">
        <w:trPr>
          <w:trHeight w:hRule="exact" w:val="397"/>
        </w:trPr>
        <w:tc>
          <w:tcPr>
            <w:tcW w:w="1574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9313+1A3  1</w:t>
            </w:r>
          </w:p>
        </w:tc>
        <w:tc>
          <w:tcPr>
            <w:tcW w:w="87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16,543,508</w:t>
            </w:r>
          </w:p>
        </w:tc>
        <w:tc>
          <w:tcPr>
            <w:tcW w:w="144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222,393</w:t>
            </w:r>
          </w:p>
        </w:tc>
        <w:tc>
          <w:tcPr>
            <w:tcW w:w="1116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4,277,697</w:t>
            </w:r>
          </w:p>
        </w:tc>
      </w:tr>
      <w:tr w:rsidR="00DA1DCF" w:rsidRPr="001839D0" w:rsidTr="000D4D6D">
        <w:trPr>
          <w:trHeight w:hRule="exact" w:val="397"/>
        </w:trPr>
        <w:tc>
          <w:tcPr>
            <w:tcW w:w="1574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9313+1A3  2</w:t>
            </w:r>
          </w:p>
        </w:tc>
        <w:tc>
          <w:tcPr>
            <w:tcW w:w="87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15,233,874</w:t>
            </w:r>
          </w:p>
        </w:tc>
        <w:tc>
          <w:tcPr>
            <w:tcW w:w="144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146,901</w:t>
            </w:r>
          </w:p>
        </w:tc>
        <w:tc>
          <w:tcPr>
            <w:tcW w:w="1116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4,239,022</w:t>
            </w:r>
          </w:p>
        </w:tc>
      </w:tr>
      <w:tr w:rsidR="00DA1DCF" w:rsidRPr="001839D0" w:rsidTr="000D4D6D">
        <w:trPr>
          <w:trHeight w:hRule="exact" w:val="397"/>
        </w:trPr>
        <w:tc>
          <w:tcPr>
            <w:tcW w:w="1574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9313+ Diluted 1A3  1</w:t>
            </w:r>
          </w:p>
        </w:tc>
        <w:tc>
          <w:tcPr>
            <w:tcW w:w="87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814,989</w:t>
            </w:r>
          </w:p>
        </w:tc>
        <w:tc>
          <w:tcPr>
            <w:tcW w:w="144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275,172</w:t>
            </w:r>
          </w:p>
        </w:tc>
        <w:tc>
          <w:tcPr>
            <w:tcW w:w="1116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258,330</w:t>
            </w:r>
          </w:p>
        </w:tc>
      </w:tr>
      <w:tr w:rsidR="00DA1DCF" w:rsidRPr="001839D0" w:rsidTr="000D4D6D">
        <w:trPr>
          <w:trHeight w:hRule="exact" w:val="397"/>
        </w:trPr>
        <w:tc>
          <w:tcPr>
            <w:tcW w:w="1574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9313+ Diluted 1A3  2</w:t>
            </w:r>
          </w:p>
        </w:tc>
        <w:tc>
          <w:tcPr>
            <w:tcW w:w="87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12,001,482</w:t>
            </w:r>
          </w:p>
        </w:tc>
        <w:tc>
          <w:tcPr>
            <w:tcW w:w="144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1,208,792</w:t>
            </w:r>
          </w:p>
        </w:tc>
        <w:tc>
          <w:tcPr>
            <w:tcW w:w="1116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1,051,797</w:t>
            </w:r>
          </w:p>
        </w:tc>
      </w:tr>
      <w:tr w:rsidR="00DA1DCF" w:rsidRPr="001839D0" w:rsidTr="000D4D6D">
        <w:trPr>
          <w:trHeight w:hRule="exact" w:val="397"/>
        </w:trPr>
        <w:tc>
          <w:tcPr>
            <w:tcW w:w="1574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MED4  1</w:t>
            </w:r>
          </w:p>
        </w:tc>
        <w:tc>
          <w:tcPr>
            <w:tcW w:w="87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14,044,568</w:t>
            </w:r>
          </w:p>
        </w:tc>
        <w:tc>
          <w:tcPr>
            <w:tcW w:w="144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7,976,819</w:t>
            </w:r>
          </w:p>
        </w:tc>
        <w:tc>
          <w:tcPr>
            <w:tcW w:w="1116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122,351</w:t>
            </w:r>
          </w:p>
        </w:tc>
      </w:tr>
      <w:tr w:rsidR="00DA1DCF" w:rsidRPr="001839D0" w:rsidTr="000D4D6D">
        <w:trPr>
          <w:trHeight w:hRule="exact" w:val="397"/>
        </w:trPr>
        <w:tc>
          <w:tcPr>
            <w:tcW w:w="1574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MED4  2</w:t>
            </w:r>
          </w:p>
        </w:tc>
        <w:tc>
          <w:tcPr>
            <w:tcW w:w="87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13,301,262</w:t>
            </w:r>
          </w:p>
        </w:tc>
        <w:tc>
          <w:tcPr>
            <w:tcW w:w="144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8,716,916</w:t>
            </w:r>
          </w:p>
        </w:tc>
        <w:tc>
          <w:tcPr>
            <w:tcW w:w="1116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8,596</w:t>
            </w:r>
          </w:p>
        </w:tc>
      </w:tr>
      <w:tr w:rsidR="00DA1DCF" w:rsidRPr="001839D0" w:rsidTr="000D4D6D">
        <w:trPr>
          <w:trHeight w:hRule="exact" w:val="397"/>
        </w:trPr>
        <w:tc>
          <w:tcPr>
            <w:tcW w:w="1574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MED4+1A3  1</w:t>
            </w:r>
          </w:p>
        </w:tc>
        <w:tc>
          <w:tcPr>
            <w:tcW w:w="87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14,121,601</w:t>
            </w:r>
          </w:p>
        </w:tc>
        <w:tc>
          <w:tcPr>
            <w:tcW w:w="144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266,277</w:t>
            </w:r>
          </w:p>
        </w:tc>
        <w:tc>
          <w:tcPr>
            <w:tcW w:w="1116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5,826,824</w:t>
            </w:r>
          </w:p>
        </w:tc>
      </w:tr>
      <w:tr w:rsidR="00DA1DCF" w:rsidRPr="001839D0" w:rsidTr="000D4D6D">
        <w:trPr>
          <w:trHeight w:hRule="exact" w:val="397"/>
        </w:trPr>
        <w:tc>
          <w:tcPr>
            <w:tcW w:w="1574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MED4+1A3  2</w:t>
            </w:r>
          </w:p>
        </w:tc>
        <w:tc>
          <w:tcPr>
            <w:tcW w:w="87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7,500,307</w:t>
            </w:r>
          </w:p>
        </w:tc>
        <w:tc>
          <w:tcPr>
            <w:tcW w:w="144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165,430</w:t>
            </w:r>
          </w:p>
        </w:tc>
        <w:tc>
          <w:tcPr>
            <w:tcW w:w="1116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3,669,183</w:t>
            </w:r>
          </w:p>
        </w:tc>
      </w:tr>
      <w:tr w:rsidR="00DA1DCF" w:rsidRPr="001839D0" w:rsidTr="000D4D6D">
        <w:trPr>
          <w:trHeight w:hRule="exact" w:val="397"/>
        </w:trPr>
        <w:tc>
          <w:tcPr>
            <w:tcW w:w="1574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1A3  1</w:t>
            </w:r>
          </w:p>
        </w:tc>
        <w:tc>
          <w:tcPr>
            <w:tcW w:w="87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14,719,446</w:t>
            </w:r>
          </w:p>
        </w:tc>
        <w:tc>
          <w:tcPr>
            <w:tcW w:w="144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0</w:t>
            </w:r>
          </w:p>
        </w:tc>
        <w:tc>
          <w:tcPr>
            <w:tcW w:w="1116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8,474,619</w:t>
            </w:r>
          </w:p>
        </w:tc>
      </w:tr>
      <w:tr w:rsidR="00DA1DCF" w:rsidRPr="001839D0" w:rsidTr="000D4D6D">
        <w:trPr>
          <w:trHeight w:hRule="exact" w:val="397"/>
        </w:trPr>
        <w:tc>
          <w:tcPr>
            <w:tcW w:w="1574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1A3  2</w:t>
            </w:r>
          </w:p>
        </w:tc>
        <w:tc>
          <w:tcPr>
            <w:tcW w:w="87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12,191,652</w:t>
            </w:r>
          </w:p>
        </w:tc>
        <w:tc>
          <w:tcPr>
            <w:tcW w:w="1440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2</w:t>
            </w:r>
          </w:p>
        </w:tc>
        <w:tc>
          <w:tcPr>
            <w:tcW w:w="1116" w:type="pct"/>
            <w:noWrap/>
            <w:hideMark/>
          </w:tcPr>
          <w:p w:rsidR="00DA1DCF" w:rsidRPr="000D4D6D" w:rsidRDefault="00DA1DCF" w:rsidP="00075CC9">
            <w:pPr>
              <w:spacing w:line="480" w:lineRule="auto"/>
              <w:jc w:val="center"/>
              <w:rPr>
                <w:rFonts w:cstheme="majorBidi"/>
                <w:sz w:val="24"/>
                <w:szCs w:val="24"/>
              </w:rPr>
            </w:pPr>
            <w:r w:rsidRPr="000D4D6D">
              <w:rPr>
                <w:rFonts w:cstheme="majorBidi"/>
                <w:sz w:val="24"/>
                <w:szCs w:val="24"/>
              </w:rPr>
              <w:t>8,746,409</w:t>
            </w:r>
          </w:p>
        </w:tc>
      </w:tr>
    </w:tbl>
    <w:p w:rsidR="006B0B5C" w:rsidRDefault="006B0B5C" w:rsidP="00DA1DCF"/>
    <w:p w:rsidR="00DA1DCF" w:rsidRDefault="00DA1DCF" w:rsidP="00DA1DC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bookmarkStart w:id="1" w:name="OLE_LINK43"/>
      <w:bookmarkStart w:id="2" w:name="OLE_LINK44"/>
      <w:r w:rsidRPr="001839D0">
        <w:rPr>
          <w:rFonts w:asciiTheme="majorBidi" w:hAnsiTheme="majorBidi" w:cstheme="majorBidi"/>
          <w:b/>
          <w:bCs/>
          <w:sz w:val="24"/>
          <w:szCs w:val="24"/>
        </w:rPr>
        <w:t xml:space="preserve">Supplementary Table </w:t>
      </w:r>
      <w:r w:rsidR="00282693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1839D0">
        <w:rPr>
          <w:rFonts w:asciiTheme="majorBidi" w:hAnsiTheme="majorBidi" w:cstheme="majorBidi"/>
          <w:b/>
          <w:bCs/>
          <w:sz w:val="24"/>
          <w:szCs w:val="24"/>
        </w:rPr>
        <w:t>1</w:t>
      </w:r>
      <w:bookmarkEnd w:id="1"/>
      <w:bookmarkEnd w:id="2"/>
      <w:r w:rsidRPr="001839D0">
        <w:rPr>
          <w:rFonts w:asciiTheme="majorBidi" w:hAnsiTheme="majorBidi" w:cstheme="majorBidi"/>
          <w:sz w:val="24"/>
          <w:szCs w:val="24"/>
        </w:rPr>
        <w:t xml:space="preserve">: Total raw reads from each sequencing library and the number of uniquely-mapping reads to the genomes of </w:t>
      </w:r>
      <w:r w:rsidRPr="001839D0">
        <w:rPr>
          <w:rFonts w:asciiTheme="majorBidi" w:hAnsiTheme="majorBidi" w:cstheme="majorBidi"/>
          <w:i/>
          <w:iCs/>
          <w:sz w:val="24"/>
          <w:szCs w:val="24"/>
        </w:rPr>
        <w:t>Prochlorococcus</w:t>
      </w:r>
      <w:r w:rsidRPr="001839D0">
        <w:rPr>
          <w:rFonts w:asciiTheme="majorBidi" w:hAnsiTheme="majorBidi" w:cstheme="majorBidi"/>
          <w:sz w:val="24"/>
          <w:szCs w:val="24"/>
        </w:rPr>
        <w:t xml:space="preserve"> and </w:t>
      </w:r>
      <w:r w:rsidRPr="001839D0">
        <w:rPr>
          <w:rFonts w:asciiTheme="majorBidi" w:hAnsiTheme="majorBidi" w:cstheme="majorBidi"/>
          <w:i/>
          <w:iCs/>
          <w:sz w:val="24"/>
          <w:szCs w:val="24"/>
        </w:rPr>
        <w:t>Alteromonas</w:t>
      </w:r>
      <w:r w:rsidRPr="001839D0">
        <w:rPr>
          <w:rFonts w:asciiTheme="majorBidi" w:hAnsiTheme="majorBidi" w:cstheme="majorBidi"/>
          <w:sz w:val="24"/>
          <w:szCs w:val="24"/>
        </w:rPr>
        <w:t xml:space="preserve"> after the quality control and data cleaning procedures described in the supplementary text.  The number</w:t>
      </w:r>
      <w:r>
        <w:rPr>
          <w:rFonts w:asciiTheme="majorBidi" w:hAnsiTheme="majorBidi" w:cstheme="majorBidi"/>
          <w:sz w:val="24"/>
          <w:szCs w:val="24"/>
        </w:rPr>
        <w:t>s</w:t>
      </w:r>
      <w:r w:rsidRPr="001839D0">
        <w:rPr>
          <w:rFonts w:asciiTheme="majorBidi" w:hAnsiTheme="majorBidi" w:cstheme="majorBidi"/>
          <w:sz w:val="24"/>
          <w:szCs w:val="24"/>
        </w:rPr>
        <w:t xml:space="preserve"> after each sample name represent the biological replicate.</w:t>
      </w:r>
    </w:p>
    <w:p w:rsidR="00DA1DCF" w:rsidRDefault="00DA1DCF" w:rsidP="00DA1DCF"/>
    <w:sectPr w:rsidR="00DA1DCF" w:rsidSect="00294D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DCF"/>
    <w:rsid w:val="000D4D6D"/>
    <w:rsid w:val="00282693"/>
    <w:rsid w:val="00294D99"/>
    <w:rsid w:val="006B0B5C"/>
    <w:rsid w:val="008D5C23"/>
    <w:rsid w:val="00DA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599BB-47BA-48E9-8C36-0C63DBF11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mcelab</dc:creator>
  <cp:lastModifiedBy>Dikla</cp:lastModifiedBy>
  <cp:revision>2</cp:revision>
  <dcterms:created xsi:type="dcterms:W3CDTF">2016-03-16T06:34:00Z</dcterms:created>
  <dcterms:modified xsi:type="dcterms:W3CDTF">2016-03-16T06:34:00Z</dcterms:modified>
</cp:coreProperties>
</file>