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医院制剂 MES V2.0</w:t>
        <w:br/>
        <w:t>FINAL BASELINE COMPLETE v1.0</w:t>
        <w:br/>
      </w:r>
      <w:r>
        <w:t>最终正式开发基线 · FINAL / FROZEN</w:t>
        <w:br/>
        <w:t>2026-09-28</w:t>
      </w:r>
    </w:p>
    <w:p>
      <w:r>
        <w:br w:type="page"/>
      </w:r>
    </w:p>
    <w:p>
      <w:pPr>
        <w:pStyle w:val="Heading1"/>
      </w:pPr>
      <w:r>
        <w:t>1. 最终封版结论</w:t>
      </w:r>
    </w:p>
    <w:p>
      <w:r>
        <w:t>本包通过最终完整性检查，可作为 hospital-pharma-mes 唯一正式开发输入。此前所有 Candidate、阶段性FROZEN和独立补丁包均被本版本取代。</w:t>
      </w:r>
    </w:p>
    <w:p>
      <w:pPr>
        <w:pStyle w:val="Heading1"/>
      </w:pPr>
      <w:r>
        <w:t>2. 完整性</w:t>
      </w:r>
    </w:p>
    <w:p>
      <w:pPr>
        <w:pStyle w:val="ListBullet"/>
      </w:pPr>
      <w:r>
        <w:t>47条PRD Requirement</w:t>
      </w:r>
    </w:p>
    <w:p>
      <w:pPr>
        <w:pStyle w:val="ListBullet"/>
      </w:pPr>
      <w:r>
        <w:t>数据库与eBR冻结设计</w:t>
      </w:r>
    </w:p>
    <w:p>
      <w:pPr>
        <w:pStyle w:val="ListBullet"/>
      </w:pPr>
      <w:r>
        <w:t>120 Paths / 171 OpenAPI Operations</w:t>
      </w:r>
    </w:p>
    <w:p>
      <w:pPr>
        <w:pStyle w:val="ListBullet"/>
      </w:pPr>
      <w:r>
        <w:t>57条UI Route设计</w:t>
      </w:r>
    </w:p>
    <w:p>
      <w:pPr>
        <w:pStyle w:val="ListBullet"/>
      </w:pPr>
      <w:r>
        <w:t>61条正式Test Case，覆盖13/13 MES Task</w:t>
      </w:r>
    </w:p>
    <w:p>
      <w:pPr>
        <w:pStyle w:val="ListBullet"/>
      </w:pPr>
      <w:r>
        <w:t>13张R2 Task均包含Dependency Check、Integration Scope、Contracts Consumed/Produced、Regression Scope</w:t>
      </w:r>
    </w:p>
    <w:p>
      <w:pPr>
        <w:pStyle w:val="ListBullet"/>
      </w:pPr>
      <w:r>
        <w:t>15号模块依赖/Migration/Integration Contract施工编排规范</w:t>
      </w:r>
    </w:p>
    <w:p>
      <w:pPr>
        <w:pStyle w:val="Heading1"/>
      </w:pPr>
      <w:r>
        <w:t>3. 正式开发流程</w:t>
      </w:r>
    </w:p>
    <w:p>
      <w:r>
        <w:t>Dependency Check → Gap Analysis → Impact Analysis → Integration Contract Check → Implementation Plan → 人工确认 → Codex施工 → Migration/Build/Test → Integration/Regression → GPT-5.6 Sol High Review → 验收 → STOP。</w:t>
      </w:r>
    </w:p>
    <w:p>
      <w:pPr>
        <w:pStyle w:val="Heading1"/>
      </w:pPr>
      <w:r>
        <w:t>4. 重要原则</w:t>
      </w:r>
    </w:p>
    <w:p>
      <w:r>
        <w:t>整体设计冻结、依赖驱动、增量施工。Task不是孤岛模块。Codex不得为解决依赖自行创建临时业务模型或修改FROZEN设计。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