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0"/>
        </w:rPr>
        <w:t>BÁO CÁO THỰC NGHIỆM</w:t>
      </w:r>
    </w:p>
    <w:p>
      <w:pPr>
        <w:jc w:val="center"/>
      </w:pPr>
      <w:r>
        <w:rPr>
          <w:b/>
          <w:color w:val="2E75B6"/>
          <w:sz w:val="30"/>
        </w:rPr>
        <w:t>Tấn Công Đối Kháng FGSM</w:t>
        <w:br/>
        <w:t>(Fast Gradient Sign Method)</w:t>
        <w:br/>
        <w:t>trên MNIST và CIFAR-10</w:t>
      </w:r>
    </w:p>
    <w:p/>
    <w:p>
      <w:pPr>
        <w:jc w:val="center"/>
      </w:pPr>
      <w:r>
        <w:rPr>
          <w:sz w:val="24"/>
        </w:rPr>
        <w:t>Ngày thực nghiệm: 14/05/2026</w:t>
        <w:br/>
      </w:r>
      <w:r>
        <w:rPr>
          <w:sz w:val="24"/>
        </w:rPr>
        <w:t>Framework: PyTorch 2.0+ | Python 3.10+</w:t>
      </w:r>
    </w:p>
    <w:p>
      <w:r>
        <w:br w:type="page"/>
      </w:r>
    </w:p>
    <w:p>
      <w:pPr>
        <w:pStyle w:val="Heading1"/>
        <w:jc w:val="left"/>
      </w:pPr>
      <w:r>
        <w:rPr>
          <w:color w:val="1F3864"/>
        </w:rPr>
        <w:t>1. Giới thiệu</w:t>
      </w:r>
    </w:p>
    <w:p>
      <w:pPr>
        <w:spacing w:after="120"/>
        <w:jc w:val="both"/>
      </w:pPr>
      <w:r>
        <w:rPr>
          <w:b w:val="0"/>
          <w:i w:val="0"/>
          <w:sz w:val="22"/>
        </w:rPr>
        <w:t>Báo cáo này trình bày quá trình thực nghiệm đánh giá mức độ dễ bị tấn công đối kháng (adversarial vulnerability) của mô hình phân loại ảnh khi đối mặt với phương pháp tấn công FGSM (Fast Gradient Sign Method — Goodfellow et al., 2015). FGSM là một trong những kỹ thuật tạo ảnh đối kháng nền tảng và được sử dụng rộng rãi nhất trong lĩnh vực an ninh học máy.</w:t>
      </w:r>
    </w:p>
    <w:p>
      <w:pPr>
        <w:spacing w:after="120"/>
        <w:jc w:val="both"/>
      </w:pPr>
      <w:r>
        <w:rPr>
          <w:b w:val="0"/>
          <w:i w:val="0"/>
          <w:sz w:val="22"/>
        </w:rPr>
        <w:t>Thực nghiệm được tiến hành trên hai bộ dữ liệu chuẩn: MNIST (chữ số viết tay) và CIFAR-10 (ảnh vật thể thực tế), sử dụng mô hình SimpleCNN. Mục tiêu chính là trả lời các câu hỏi nghiên cứu sau:</w:t>
      </w:r>
    </w:p>
    <w:p>
      <w:pPr>
        <w:pStyle w:val="ListBullet"/>
        <w:spacing w:after="60"/>
      </w:pPr>
      <w:r>
        <w:rPr>
          <w:sz w:val="22"/>
        </w:rPr>
        <w:t>Biên độ nhiễu ε ảnh hưởng như thế nào đến hiệu quả của FGSM?</w:t>
      </w:r>
    </w:p>
    <w:p>
      <w:pPr>
        <w:pStyle w:val="ListBullet"/>
        <w:spacing w:after="60"/>
      </w:pPr>
      <w:r>
        <w:rPr>
          <w:sz w:val="22"/>
        </w:rPr>
        <w:t>Sự khác biệt về độ robustness giữa MNIST và CIFAR-10 là gì?</w:t>
      </w:r>
    </w:p>
    <w:p>
      <w:pPr>
        <w:pStyle w:val="ListBullet"/>
        <w:spacing w:after="60"/>
      </w:pPr>
      <w:r>
        <w:rPr>
          <w:sz w:val="22"/>
        </w:rPr>
        <w:t>Ảnh đối kháng sinh ra từ một kiến trúc có thể đánh lừa kiến trúc khác không (transferability)?</w:t>
      </w:r>
    </w:p>
    <w:p/>
    <w:p>
      <w:pPr>
        <w:pStyle w:val="Heading1"/>
        <w:jc w:val="left"/>
      </w:pPr>
      <w:r>
        <w:rPr>
          <w:color w:val="1F3864"/>
        </w:rPr>
        <w:t>2. Cơ sở lý thuyết</w:t>
      </w:r>
    </w:p>
    <w:p>
      <w:pPr>
        <w:pStyle w:val="Heading2"/>
        <w:jc w:val="left"/>
      </w:pPr>
      <w:r>
        <w:rPr>
          <w:color w:val="1F3864"/>
        </w:rPr>
        <w:t>2.1. FGSM — Fast Gradient Sign Method</w:t>
      </w:r>
    </w:p>
    <w:p>
      <w:pPr>
        <w:spacing w:after="120"/>
        <w:jc w:val="both"/>
      </w:pPr>
      <w:r>
        <w:rPr>
          <w:b w:val="0"/>
          <w:i w:val="0"/>
          <w:sz w:val="22"/>
        </w:rPr>
        <w:t>FGSM (Goodfellow et al., 2015) tạo ra ảnh đối kháng bằng cách cộng thêm một nhiễu nhỏ có cùng dấu với gradient của hàm mất mát theo ảnh đầu vào:</w:t>
      </w:r>
    </w:p>
    <w:p>
      <w:pPr>
        <w:spacing w:before="80" w:after="80"/>
        <w:jc w:val="center"/>
      </w:pPr>
      <w:r>
        <w:rPr>
          <w:rFonts w:ascii="Courier New" w:hAnsi="Courier New"/>
          <w:b/>
          <w:sz w:val="24"/>
        </w:rPr>
        <w:t>x_adv = x + ε · sign(∇ₓ J(θ, x, y))</w:t>
      </w:r>
    </w:p>
    <w:p>
      <w:pPr>
        <w:spacing w:after="120"/>
        <w:jc w:val="both"/>
      </w:pPr>
      <w:r>
        <w:rPr>
          <w:b w:val="0"/>
          <w:i w:val="0"/>
          <w:sz w:val="22"/>
        </w:rPr>
        <w:t>Trong đó x là ảnh gốc, y là nhãn thực, θ là tham số mô hình, ε là biên độ nhiễu tối đa theo chuẩn L∞.</w:t>
      </w:r>
    </w:p>
    <w:tbl>
      <w:tblPr>
        <w:tblStyle w:val="TableGrid"/>
        <w:tblW w:type="auto" w:w="0"/>
        <w:jc w:val="center"/>
        <w:tblLook w:firstColumn="1" w:firstRow="1" w:lastColumn="0" w:lastRow="0" w:noHBand="0" w:noVBand="1" w:val="04A0"/>
      </w:tblPr>
      <w:tblGrid>
        <w:gridCol w:w="4702"/>
        <w:gridCol w:w="4702"/>
      </w:tblGrid>
      <w:tr>
        <w:tc>
          <w:tcPr>
            <w:tcW w:type="dxa" w:w="2268"/>
            <w:vAlign w:val="center"/>
            <w:shd w:val="clear" w:color="auto" w:fill="1F3864"/>
          </w:tcPr>
          <w:p>
            <w:pPr>
              <w:jc w:val="center"/>
            </w:pPr>
            <w:r>
              <w:rPr>
                <w:b/>
                <w:color w:val="FFFFFF"/>
                <w:sz w:val="20"/>
              </w:rPr>
              <w:t>Ký hiệu</w:t>
            </w:r>
          </w:p>
        </w:tc>
        <w:tc>
          <w:tcPr>
            <w:tcW w:type="dxa" w:w="7370"/>
            <w:vAlign w:val="center"/>
            <w:shd w:val="clear" w:color="auto" w:fill="1F3864"/>
          </w:tcPr>
          <w:p>
            <w:pPr>
              <w:jc w:val="center"/>
            </w:pPr>
            <w:r>
              <w:rPr>
                <w:b/>
                <w:color w:val="FFFFFF"/>
                <w:sz w:val="20"/>
              </w:rPr>
              <w:t>Ý nghĩa</w:t>
            </w:r>
          </w:p>
        </w:tc>
      </w:tr>
      <w:tr>
        <w:tc>
          <w:tcPr>
            <w:tcW w:type="dxa" w:w="2268"/>
            <w:vAlign w:val="center"/>
            <w:shd w:val="clear" w:color="auto" w:fill="F2F2F2"/>
          </w:tcPr>
          <w:p>
            <w:pPr>
              <w:jc w:val="center"/>
            </w:pPr>
            <w:r>
              <w:rPr>
                <w:sz w:val="20"/>
              </w:rPr>
              <w:t>x</w:t>
            </w:r>
          </w:p>
        </w:tc>
        <w:tc>
          <w:tcPr>
            <w:tcW w:type="dxa" w:w="7370"/>
            <w:vAlign w:val="center"/>
            <w:shd w:val="clear" w:color="auto" w:fill="F2F2F2"/>
          </w:tcPr>
          <w:p>
            <w:pPr>
              <w:jc w:val="center"/>
            </w:pPr>
            <w:r>
              <w:rPr>
                <w:sz w:val="20"/>
              </w:rPr>
              <w:t>Ảnh đầu vào gốc</w:t>
            </w:r>
          </w:p>
        </w:tc>
      </w:tr>
      <w:tr>
        <w:tc>
          <w:tcPr>
            <w:tcW w:type="dxa" w:w="2268"/>
            <w:vAlign w:val="center"/>
            <w:shd w:val="clear" w:color="auto" w:fill="FFFFFF"/>
          </w:tcPr>
          <w:p>
            <w:pPr>
              <w:jc w:val="center"/>
            </w:pPr>
            <w:r>
              <w:rPr>
                <w:sz w:val="20"/>
              </w:rPr>
              <w:t>y</w:t>
            </w:r>
          </w:p>
        </w:tc>
        <w:tc>
          <w:tcPr>
            <w:tcW w:type="dxa" w:w="7370"/>
            <w:vAlign w:val="center"/>
            <w:shd w:val="clear" w:color="auto" w:fill="FFFFFF"/>
          </w:tcPr>
          <w:p>
            <w:pPr>
              <w:jc w:val="center"/>
            </w:pPr>
            <w:r>
              <w:rPr>
                <w:sz w:val="20"/>
              </w:rPr>
              <w:t>Nhãn phân loại thực</w:t>
            </w:r>
          </w:p>
        </w:tc>
      </w:tr>
      <w:tr>
        <w:tc>
          <w:tcPr>
            <w:tcW w:type="dxa" w:w="2268"/>
            <w:vAlign w:val="center"/>
            <w:shd w:val="clear" w:color="auto" w:fill="F2F2F2"/>
          </w:tcPr>
          <w:p>
            <w:pPr>
              <w:jc w:val="center"/>
            </w:pPr>
            <w:r>
              <w:rPr>
                <w:sz w:val="20"/>
              </w:rPr>
              <w:t>θ</w:t>
            </w:r>
          </w:p>
        </w:tc>
        <w:tc>
          <w:tcPr>
            <w:tcW w:type="dxa" w:w="7370"/>
            <w:vAlign w:val="center"/>
            <w:shd w:val="clear" w:color="auto" w:fill="F2F2F2"/>
          </w:tcPr>
          <w:p>
            <w:pPr>
              <w:jc w:val="center"/>
            </w:pPr>
            <w:r>
              <w:rPr>
                <w:sz w:val="20"/>
              </w:rPr>
              <w:t>Tham số mô hình (cố định trong quá trình tấn công)</w:t>
            </w:r>
          </w:p>
        </w:tc>
      </w:tr>
      <w:tr>
        <w:tc>
          <w:tcPr>
            <w:tcW w:type="dxa" w:w="2268"/>
            <w:vAlign w:val="center"/>
            <w:shd w:val="clear" w:color="auto" w:fill="FFFFFF"/>
          </w:tcPr>
          <w:p>
            <w:pPr>
              <w:jc w:val="center"/>
            </w:pPr>
            <w:r>
              <w:rPr>
                <w:sz w:val="20"/>
              </w:rPr>
              <w:t>J(θ, x, y)</w:t>
            </w:r>
          </w:p>
        </w:tc>
        <w:tc>
          <w:tcPr>
            <w:tcW w:type="dxa" w:w="7370"/>
            <w:vAlign w:val="center"/>
            <w:shd w:val="clear" w:color="auto" w:fill="FFFFFF"/>
          </w:tcPr>
          <w:p>
            <w:pPr>
              <w:jc w:val="center"/>
            </w:pPr>
            <w:r>
              <w:rPr>
                <w:sz w:val="20"/>
              </w:rPr>
              <w:t>Hàm mất mát (Cross-Entropy)</w:t>
            </w:r>
          </w:p>
        </w:tc>
      </w:tr>
      <w:tr>
        <w:tc>
          <w:tcPr>
            <w:tcW w:type="dxa" w:w="2268"/>
            <w:vAlign w:val="center"/>
            <w:shd w:val="clear" w:color="auto" w:fill="F2F2F2"/>
          </w:tcPr>
          <w:p>
            <w:pPr>
              <w:jc w:val="center"/>
            </w:pPr>
            <w:r>
              <w:rPr>
                <w:sz w:val="20"/>
              </w:rPr>
              <w:t>∇ₓ J</w:t>
            </w:r>
          </w:p>
        </w:tc>
        <w:tc>
          <w:tcPr>
            <w:tcW w:type="dxa" w:w="7370"/>
            <w:vAlign w:val="center"/>
            <w:shd w:val="clear" w:color="auto" w:fill="F2F2F2"/>
          </w:tcPr>
          <w:p>
            <w:pPr>
              <w:jc w:val="center"/>
            </w:pPr>
            <w:r>
              <w:rPr>
                <w:sz w:val="20"/>
              </w:rPr>
              <w:t>Gradient của loss theo pixel ảnh</w:t>
            </w:r>
          </w:p>
        </w:tc>
      </w:tr>
      <w:tr>
        <w:tc>
          <w:tcPr>
            <w:tcW w:type="dxa" w:w="2268"/>
            <w:vAlign w:val="center"/>
            <w:shd w:val="clear" w:color="auto" w:fill="FFFFFF"/>
          </w:tcPr>
          <w:p>
            <w:pPr>
              <w:jc w:val="center"/>
            </w:pPr>
            <w:r>
              <w:rPr>
                <w:sz w:val="20"/>
              </w:rPr>
              <w:t>sign(·)</w:t>
            </w:r>
          </w:p>
        </w:tc>
        <w:tc>
          <w:tcPr>
            <w:tcW w:type="dxa" w:w="7370"/>
            <w:vAlign w:val="center"/>
            <w:shd w:val="clear" w:color="auto" w:fill="FFFFFF"/>
          </w:tcPr>
          <w:p>
            <w:pPr>
              <w:jc w:val="center"/>
            </w:pPr>
            <w:r>
              <w:rPr>
                <w:sz w:val="20"/>
              </w:rPr>
              <w:t>Hàm lấy dấu — trả về +1 hoặc −1</w:t>
            </w:r>
          </w:p>
        </w:tc>
      </w:tr>
      <w:tr>
        <w:tc>
          <w:tcPr>
            <w:tcW w:type="dxa" w:w="2268"/>
            <w:vAlign w:val="center"/>
            <w:shd w:val="clear" w:color="auto" w:fill="F2F2F2"/>
          </w:tcPr>
          <w:p>
            <w:pPr>
              <w:jc w:val="center"/>
            </w:pPr>
            <w:r>
              <w:rPr>
                <w:sz w:val="20"/>
              </w:rPr>
              <w:t>ε</w:t>
            </w:r>
          </w:p>
        </w:tc>
        <w:tc>
          <w:tcPr>
            <w:tcW w:type="dxa" w:w="7370"/>
            <w:vAlign w:val="center"/>
            <w:shd w:val="clear" w:color="auto" w:fill="F2F2F2"/>
          </w:tcPr>
          <w:p>
            <w:pPr>
              <w:jc w:val="center"/>
            </w:pPr>
            <w:r>
              <w:rPr>
                <w:sz w:val="20"/>
              </w:rPr>
              <w:t>Biên độ nhiễu tối đa (L∞ norm budget)</w:t>
            </w:r>
          </w:p>
        </w:tc>
      </w:tr>
      <w:tr>
        <w:tc>
          <w:tcPr>
            <w:tcW w:type="dxa" w:w="2268"/>
            <w:vAlign w:val="center"/>
            <w:shd w:val="clear" w:color="auto" w:fill="FFFFFF"/>
          </w:tcPr>
          <w:p>
            <w:pPr>
              <w:jc w:val="center"/>
            </w:pPr>
            <w:r>
              <w:rPr>
                <w:sz w:val="20"/>
              </w:rPr>
              <w:t>x_adv</w:t>
            </w:r>
          </w:p>
        </w:tc>
        <w:tc>
          <w:tcPr>
            <w:tcW w:type="dxa" w:w="7370"/>
            <w:vAlign w:val="center"/>
            <w:shd w:val="clear" w:color="auto" w:fill="FFFFFF"/>
          </w:tcPr>
          <w:p>
            <w:pPr>
              <w:jc w:val="center"/>
            </w:pPr>
            <w:r>
              <w:rPr>
                <w:sz w:val="20"/>
              </w:rPr>
              <w:t>Ảnh đối kháng sau tấn công</w:t>
            </w:r>
          </w:p>
        </w:tc>
      </w:tr>
    </w:tbl>
    <w:p/>
    <w:p>
      <w:pPr>
        <w:spacing w:after="120"/>
        <w:jc w:val="both"/>
      </w:pPr>
      <w:r>
        <w:rPr>
          <w:b w:val="0"/>
          <w:i w:val="0"/>
          <w:sz w:val="22"/>
        </w:rPr>
        <w:t>FGSM chỉ thực hiện một bước tính gradient duy nhất, do đó rất nhanh và hiệu quả về mặt tính toán. Đây là thuật toán tấn công nền tảng được sử dụng để đánh giá sơ bộ khả năng phòng thủ của mô hình phân loại ảnh.</w:t>
      </w:r>
    </w:p>
    <w:p>
      <w:pPr>
        <w:pStyle w:val="Heading2"/>
        <w:jc w:val="left"/>
      </w:pPr>
      <w:r>
        <w:rPr>
          <w:color w:val="1F3864"/>
        </w:rPr>
        <w:t>2.2. Phương pháp đánh giá 2 pha</w:t>
      </w:r>
    </w:p>
    <w:p>
      <w:pPr>
        <w:spacing w:after="120"/>
        <w:jc w:val="both"/>
      </w:pPr>
      <w:r>
        <w:rPr>
          <w:b w:val="0"/>
          <w:i w:val="0"/>
          <w:sz w:val="22"/>
        </w:rPr>
        <w:t>Tất cả thực nghiệm sử dụng quy trình đánh giá 2 pha để đo lường hiệu quả tấn công một cách công bằng và chính xác:</w:t>
      </w:r>
    </w:p>
    <w:p>
      <w:pPr>
        <w:pStyle w:val="ListNumber"/>
        <w:spacing w:after="80"/>
      </w:pPr>
      <w:r>
        <w:rPr>
          <w:sz w:val="22"/>
        </w:rPr>
        <w:t>Pha 1 — Dự đoán &amp; Lọc: Cho toàn bộ test set qua mô hình (không tấn công). Ghi nhận độ chính xác nền (clean accuracy) và giữ lại chỉ những mẫu được mô hình dự đoán ĐÚNG (n_correct mẫu).</w:t>
      </w:r>
    </w:p>
    <w:p>
      <w:pPr>
        <w:pStyle w:val="ListNumber"/>
        <w:spacing w:after="80"/>
      </w:pPr>
      <w:r>
        <w:rPr>
          <w:sz w:val="22"/>
        </w:rPr>
        <w:t>Pha 2 — Tấn công: Chạy FGSM chỉ trên n_correct mẫu đúng đó. Đo độ chính xác còn lại (robust accuracy) và Attack Success Rate (ASR).</w:t>
      </w:r>
    </w:p>
    <w:p>
      <w:pPr>
        <w:spacing w:after="120"/>
        <w:jc w:val="both"/>
      </w:pPr>
      <w:r>
        <w:rPr>
          <w:b w:val="0"/>
          <w:i w:val="0"/>
          <w:sz w:val="22"/>
        </w:rPr>
        <w:t>Lý do: tấn công mẫu vốn đã sai là vô nghĩa. Phương pháp này phản ánh đúng sức mạnh thực sự của attack: trong số những mẫu mô hình phân loại đúng, bao nhiêu phần trăm bị đánh lừa?</w:t>
      </w:r>
    </w:p>
    <w:p>
      <w:pPr>
        <w:pStyle w:val="Heading2"/>
        <w:jc w:val="left"/>
      </w:pPr>
      <w:r>
        <w:rPr>
          <w:color w:val="1F3864"/>
        </w:rPr>
        <w:t>2.3. Các chỉ số đánh giá</w:t>
      </w:r>
    </w:p>
    <w:tbl>
      <w:tblPr>
        <w:tblStyle w:val="TableGrid"/>
        <w:tblW w:type="auto" w:w="0"/>
        <w:jc w:val="center"/>
        <w:tblLook w:firstColumn="1" w:firstRow="1" w:lastColumn="0" w:lastRow="0" w:noHBand="0" w:noVBand="1" w:val="04A0"/>
      </w:tblPr>
      <w:tblGrid>
        <w:gridCol w:w="4702"/>
        <w:gridCol w:w="4702"/>
      </w:tblGrid>
      <w:tr>
        <w:tc>
          <w:tcPr>
            <w:tcW w:type="dxa" w:w="3118"/>
            <w:vAlign w:val="center"/>
            <w:shd w:val="clear" w:color="auto" w:fill="1F3864"/>
          </w:tcPr>
          <w:p>
            <w:pPr>
              <w:jc w:val="center"/>
            </w:pPr>
            <w:r>
              <w:rPr>
                <w:b/>
                <w:color w:val="FFFFFF"/>
                <w:sz w:val="20"/>
              </w:rPr>
              <w:t>Chỉ số</w:t>
            </w:r>
          </w:p>
        </w:tc>
        <w:tc>
          <w:tcPr>
            <w:tcW w:type="dxa" w:w="6520"/>
            <w:vAlign w:val="center"/>
            <w:shd w:val="clear" w:color="auto" w:fill="1F3864"/>
          </w:tcPr>
          <w:p>
            <w:pPr>
              <w:jc w:val="center"/>
            </w:pPr>
            <w:r>
              <w:rPr>
                <w:b/>
                <w:color w:val="FFFFFF"/>
                <w:sz w:val="20"/>
              </w:rPr>
              <w:t>Ý nghĩa</w:t>
            </w:r>
          </w:p>
        </w:tc>
      </w:tr>
      <w:tr>
        <w:tc>
          <w:tcPr>
            <w:tcW w:type="dxa" w:w="3118"/>
            <w:vAlign w:val="center"/>
            <w:shd w:val="clear" w:color="auto" w:fill="F2F2F2"/>
          </w:tcPr>
          <w:p>
            <w:pPr>
              <w:jc w:val="center"/>
            </w:pPr>
            <w:r>
              <w:rPr>
                <w:sz w:val="20"/>
              </w:rPr>
              <w:t>Clean Acc (%)</w:t>
            </w:r>
          </w:p>
        </w:tc>
        <w:tc>
          <w:tcPr>
            <w:tcW w:type="dxa" w:w="6520"/>
            <w:vAlign w:val="center"/>
            <w:shd w:val="clear" w:color="auto" w:fill="F2F2F2"/>
          </w:tcPr>
          <w:p>
            <w:pPr>
              <w:jc w:val="center"/>
            </w:pPr>
            <w:r>
              <w:rPr>
                <w:sz w:val="20"/>
              </w:rPr>
              <w:t>Độ chính xác trước khi tấn công (baseline)</w:t>
            </w:r>
          </w:p>
        </w:tc>
      </w:tr>
      <w:tr>
        <w:tc>
          <w:tcPr>
            <w:tcW w:type="dxa" w:w="3118"/>
            <w:vAlign w:val="center"/>
            <w:shd w:val="clear" w:color="auto" w:fill="FFFFFF"/>
          </w:tcPr>
          <w:p>
            <w:pPr>
              <w:jc w:val="center"/>
            </w:pPr>
            <w:r>
              <w:rPr>
                <w:sz w:val="20"/>
              </w:rPr>
              <w:t>Robust Acc (%)</w:t>
            </w:r>
          </w:p>
        </w:tc>
        <w:tc>
          <w:tcPr>
            <w:tcW w:type="dxa" w:w="6520"/>
            <w:vAlign w:val="center"/>
            <w:shd w:val="clear" w:color="auto" w:fill="FFFFFF"/>
          </w:tcPr>
          <w:p>
            <w:pPr>
              <w:jc w:val="center"/>
            </w:pPr>
            <w:r>
              <w:rPr>
                <w:sz w:val="20"/>
              </w:rPr>
              <w:t>Độ chính xác sau tấn công (trên toàn test set)</w:t>
            </w:r>
          </w:p>
        </w:tc>
      </w:tr>
      <w:tr>
        <w:tc>
          <w:tcPr>
            <w:tcW w:type="dxa" w:w="3118"/>
            <w:vAlign w:val="center"/>
            <w:shd w:val="clear" w:color="auto" w:fill="F2F2F2"/>
          </w:tcPr>
          <w:p>
            <w:pPr>
              <w:jc w:val="center"/>
            </w:pPr>
            <w:r>
              <w:rPr>
                <w:sz w:val="20"/>
              </w:rPr>
              <w:t>ASR (%)</w:t>
            </w:r>
          </w:p>
        </w:tc>
        <w:tc>
          <w:tcPr>
            <w:tcW w:type="dxa" w:w="6520"/>
            <w:vAlign w:val="center"/>
            <w:shd w:val="clear" w:color="auto" w:fill="F2F2F2"/>
          </w:tcPr>
          <w:p>
            <w:pPr>
              <w:jc w:val="center"/>
            </w:pPr>
            <w:r>
              <w:rPr>
                <w:sz w:val="20"/>
              </w:rPr>
              <w:t>Attack Success Rate — % mẫu đúng bị đánh lừa</w:t>
            </w:r>
          </w:p>
        </w:tc>
      </w:tr>
      <w:tr>
        <w:tc>
          <w:tcPr>
            <w:tcW w:type="dxa" w:w="3118"/>
            <w:vAlign w:val="center"/>
            <w:shd w:val="clear" w:color="auto" w:fill="FFFFFF"/>
          </w:tcPr>
          <w:p>
            <w:pPr>
              <w:jc w:val="center"/>
            </w:pPr>
            <w:r>
              <w:rPr>
                <w:sz w:val="20"/>
              </w:rPr>
              <w:t>Acc Drop (pp)</w:t>
            </w:r>
          </w:p>
        </w:tc>
        <w:tc>
          <w:tcPr>
            <w:tcW w:type="dxa" w:w="6520"/>
            <w:vAlign w:val="center"/>
            <w:shd w:val="clear" w:color="auto" w:fill="FFFFFF"/>
          </w:tcPr>
          <w:p>
            <w:pPr>
              <w:jc w:val="center"/>
            </w:pPr>
            <w:r>
              <w:rPr>
                <w:sz w:val="20"/>
              </w:rPr>
              <w:t>Mức giảm độ chính xác tuyệt đối (percentage points)</w:t>
            </w:r>
          </w:p>
        </w:tc>
      </w:tr>
      <w:tr>
        <w:tc>
          <w:tcPr>
            <w:tcW w:type="dxa" w:w="3118"/>
            <w:vAlign w:val="center"/>
            <w:shd w:val="clear" w:color="auto" w:fill="F2F2F2"/>
          </w:tcPr>
          <w:p>
            <w:pPr>
              <w:jc w:val="center"/>
            </w:pPr>
            <w:r>
              <w:rPr>
                <w:sz w:val="20"/>
              </w:rPr>
              <w:t>Perturbation L∞</w:t>
            </w:r>
          </w:p>
        </w:tc>
        <w:tc>
          <w:tcPr>
            <w:tcW w:type="dxa" w:w="6520"/>
            <w:vAlign w:val="center"/>
            <w:shd w:val="clear" w:color="auto" w:fill="F2F2F2"/>
          </w:tcPr>
          <w:p>
            <w:pPr>
              <w:jc w:val="center"/>
            </w:pPr>
            <w:r>
              <w:rPr>
                <w:sz w:val="20"/>
              </w:rPr>
              <w:t>Biên độ nhiễu tối đa (= ε theo thiết kế)</w:t>
            </w:r>
          </w:p>
        </w:tc>
      </w:tr>
      <w:tr>
        <w:tc>
          <w:tcPr>
            <w:tcW w:type="dxa" w:w="3118"/>
            <w:vAlign w:val="center"/>
            <w:shd w:val="clear" w:color="auto" w:fill="FFFFFF"/>
          </w:tcPr>
          <w:p>
            <w:pPr>
              <w:jc w:val="center"/>
            </w:pPr>
            <w:r>
              <w:rPr>
                <w:sz w:val="20"/>
              </w:rPr>
              <w:t>Attack Time (s)</w:t>
            </w:r>
          </w:p>
        </w:tc>
        <w:tc>
          <w:tcPr>
            <w:tcW w:type="dxa" w:w="6520"/>
            <w:vAlign w:val="center"/>
            <w:shd w:val="clear" w:color="auto" w:fill="FFFFFF"/>
          </w:tcPr>
          <w:p>
            <w:pPr>
              <w:jc w:val="center"/>
            </w:pPr>
            <w:r>
              <w:rPr>
                <w:sz w:val="20"/>
              </w:rPr>
              <w:t>Thời gian thực hiện tấn công (giây)</w:t>
            </w:r>
          </w:p>
        </w:tc>
      </w:tr>
    </w:tbl>
    <w:p/>
    <w:p>
      <w:pPr>
        <w:pStyle w:val="Heading1"/>
        <w:jc w:val="left"/>
      </w:pPr>
      <w:r>
        <w:rPr>
          <w:color w:val="1F3864"/>
        </w:rPr>
        <w:t>3. Thiết lập thực nghiệm</w:t>
      </w:r>
    </w:p>
    <w:p>
      <w:pPr>
        <w:pStyle w:val="Heading2"/>
        <w:jc w:val="left"/>
      </w:pPr>
      <w:r>
        <w:rPr>
          <w:color w:val="1F3864"/>
        </w:rPr>
        <w:t>3.1. Bộ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2835"/>
            <w:vAlign w:val="center"/>
            <w:shd w:val="clear" w:color="auto" w:fill="1F3864"/>
          </w:tcPr>
          <w:p>
            <w:pPr>
              <w:jc w:val="center"/>
            </w:pPr>
            <w:r>
              <w:rPr>
                <w:b/>
                <w:color w:val="FFFFFF"/>
                <w:sz w:val="20"/>
              </w:rPr>
              <w:t>Thuộc tính</w:t>
            </w:r>
          </w:p>
        </w:tc>
        <w:tc>
          <w:tcPr>
            <w:tcW w:type="dxa" w:w="3685"/>
            <w:vAlign w:val="center"/>
            <w:shd w:val="clear" w:color="auto" w:fill="1F3864"/>
          </w:tcPr>
          <w:p>
            <w:pPr>
              <w:jc w:val="center"/>
            </w:pPr>
            <w:r>
              <w:rPr>
                <w:b/>
                <w:color w:val="FFFFFF"/>
                <w:sz w:val="20"/>
              </w:rPr>
              <w:t>MNIST</w:t>
            </w:r>
          </w:p>
        </w:tc>
        <w:tc>
          <w:tcPr>
            <w:tcW w:type="dxa" w:w="3685"/>
            <w:vAlign w:val="center"/>
            <w:shd w:val="clear" w:color="auto" w:fill="1F3864"/>
          </w:tcPr>
          <w:p>
            <w:pPr>
              <w:jc w:val="center"/>
            </w:pPr>
            <w:r>
              <w:rPr>
                <w:b/>
                <w:color w:val="FFFFFF"/>
                <w:sz w:val="20"/>
              </w:rPr>
              <w:t>CIFAR-10</w:t>
            </w:r>
          </w:p>
        </w:tc>
      </w:tr>
      <w:tr>
        <w:tc>
          <w:tcPr>
            <w:tcW w:type="dxa" w:w="2835"/>
            <w:vAlign w:val="center"/>
            <w:shd w:val="clear" w:color="auto" w:fill="F2F2F2"/>
          </w:tcPr>
          <w:p>
            <w:pPr>
              <w:jc w:val="center"/>
            </w:pPr>
            <w:r>
              <w:rPr>
                <w:sz w:val="20"/>
              </w:rPr>
              <w:t>Số lớp</w:t>
            </w:r>
          </w:p>
        </w:tc>
        <w:tc>
          <w:tcPr>
            <w:tcW w:type="dxa" w:w="3685"/>
            <w:vAlign w:val="center"/>
            <w:shd w:val="clear" w:color="auto" w:fill="F2F2F2"/>
          </w:tcPr>
          <w:p>
            <w:pPr>
              <w:jc w:val="center"/>
            </w:pPr>
            <w:r>
              <w:rPr>
                <w:sz w:val="20"/>
              </w:rPr>
              <w:t>10 (chữ số 0–9)</w:t>
            </w:r>
          </w:p>
        </w:tc>
        <w:tc>
          <w:tcPr>
            <w:tcW w:type="dxa" w:w="3685"/>
            <w:vAlign w:val="center"/>
            <w:shd w:val="clear" w:color="auto" w:fill="F2F2F2"/>
          </w:tcPr>
          <w:p>
            <w:pPr>
              <w:jc w:val="center"/>
            </w:pPr>
            <w:r>
              <w:rPr>
                <w:sz w:val="20"/>
              </w:rPr>
              <w:t>10 (vật thể thực tế)</w:t>
            </w:r>
          </w:p>
        </w:tc>
      </w:tr>
      <w:tr>
        <w:tc>
          <w:tcPr>
            <w:tcW w:type="dxa" w:w="2835"/>
            <w:vAlign w:val="center"/>
            <w:shd w:val="clear" w:color="auto" w:fill="FFFFFF"/>
          </w:tcPr>
          <w:p>
            <w:pPr>
              <w:jc w:val="center"/>
            </w:pPr>
            <w:r>
              <w:rPr>
                <w:sz w:val="20"/>
              </w:rPr>
              <w:t>Kích thước ảnh</w:t>
            </w:r>
          </w:p>
        </w:tc>
        <w:tc>
          <w:tcPr>
            <w:tcW w:type="dxa" w:w="3685"/>
            <w:vAlign w:val="center"/>
            <w:shd w:val="clear" w:color="auto" w:fill="FFFFFF"/>
          </w:tcPr>
          <w:p>
            <w:pPr>
              <w:jc w:val="center"/>
            </w:pPr>
            <w:r>
              <w:rPr>
                <w:sz w:val="20"/>
              </w:rPr>
              <w:t>28×28, grayscale</w:t>
            </w:r>
          </w:p>
        </w:tc>
        <w:tc>
          <w:tcPr>
            <w:tcW w:type="dxa" w:w="3685"/>
            <w:vAlign w:val="center"/>
            <w:shd w:val="clear" w:color="auto" w:fill="FFFFFF"/>
          </w:tcPr>
          <w:p>
            <w:pPr>
              <w:jc w:val="center"/>
            </w:pPr>
            <w:r>
              <w:rPr>
                <w:sz w:val="20"/>
              </w:rPr>
              <w:t>32×32, RGB</w:t>
            </w:r>
          </w:p>
        </w:tc>
      </w:tr>
      <w:tr>
        <w:tc>
          <w:tcPr>
            <w:tcW w:type="dxa" w:w="2835"/>
            <w:vAlign w:val="center"/>
            <w:shd w:val="clear" w:color="auto" w:fill="F2F2F2"/>
          </w:tcPr>
          <w:p>
            <w:pPr>
              <w:jc w:val="center"/>
            </w:pPr>
            <w:r>
              <w:rPr>
                <w:sz w:val="20"/>
              </w:rPr>
              <w:t>Chuẩn hóa</w:t>
            </w:r>
          </w:p>
        </w:tc>
        <w:tc>
          <w:tcPr>
            <w:tcW w:type="dxa" w:w="3685"/>
            <w:vAlign w:val="center"/>
            <w:shd w:val="clear" w:color="auto" w:fill="F2F2F2"/>
          </w:tcPr>
          <w:p>
            <w:pPr>
              <w:jc w:val="center"/>
            </w:pPr>
            <w:r>
              <w:rPr>
                <w:sz w:val="20"/>
              </w:rPr>
              <w:t>[0, 1] (raw pixel)</w:t>
            </w:r>
          </w:p>
        </w:tc>
        <w:tc>
          <w:tcPr>
            <w:tcW w:type="dxa" w:w="3685"/>
            <w:vAlign w:val="center"/>
            <w:shd w:val="clear" w:color="auto" w:fill="F2F2F2"/>
          </w:tcPr>
          <w:p>
            <w:pPr>
              <w:jc w:val="center"/>
            </w:pPr>
            <w:r>
              <w:rPr>
                <w:sz w:val="20"/>
              </w:rPr>
              <w:t>mean=(0.491,0.482,0.447)</w:t>
              <w:br/>
              <w:t>std=(0.247,0.244,0.262)</w:t>
            </w:r>
          </w:p>
        </w:tc>
      </w:tr>
      <w:tr>
        <w:tc>
          <w:tcPr>
            <w:tcW w:type="dxa" w:w="2835"/>
            <w:vAlign w:val="center"/>
            <w:shd w:val="clear" w:color="auto" w:fill="FFFFFF"/>
          </w:tcPr>
          <w:p>
            <w:pPr>
              <w:jc w:val="center"/>
            </w:pPr>
            <w:r>
              <w:rPr>
                <w:sz w:val="20"/>
              </w:rPr>
              <w:t>Tập train</w:t>
            </w:r>
          </w:p>
        </w:tc>
        <w:tc>
          <w:tcPr>
            <w:tcW w:type="dxa" w:w="3685"/>
            <w:vAlign w:val="center"/>
            <w:shd w:val="clear" w:color="auto" w:fill="FFFFFF"/>
          </w:tcPr>
          <w:p>
            <w:pPr>
              <w:jc w:val="center"/>
            </w:pPr>
            <w:r>
              <w:rPr>
                <w:sz w:val="20"/>
              </w:rPr>
              <w:t>54,000 mẫu</w:t>
            </w:r>
          </w:p>
        </w:tc>
        <w:tc>
          <w:tcPr>
            <w:tcW w:type="dxa" w:w="3685"/>
            <w:vAlign w:val="center"/>
            <w:shd w:val="clear" w:color="auto" w:fill="FFFFFF"/>
          </w:tcPr>
          <w:p>
            <w:pPr>
              <w:jc w:val="center"/>
            </w:pPr>
            <w:r>
              <w:rPr>
                <w:sz w:val="20"/>
              </w:rPr>
              <w:t>45,000 mẫu</w:t>
            </w:r>
          </w:p>
        </w:tc>
      </w:tr>
      <w:tr>
        <w:tc>
          <w:tcPr>
            <w:tcW w:type="dxa" w:w="2835"/>
            <w:vAlign w:val="center"/>
            <w:shd w:val="clear" w:color="auto" w:fill="F2F2F2"/>
          </w:tcPr>
          <w:p>
            <w:pPr>
              <w:jc w:val="center"/>
            </w:pPr>
            <w:r>
              <w:rPr>
                <w:sz w:val="20"/>
              </w:rPr>
              <w:t>Tập validation</w:t>
            </w:r>
          </w:p>
        </w:tc>
        <w:tc>
          <w:tcPr>
            <w:tcW w:type="dxa" w:w="3685"/>
            <w:vAlign w:val="center"/>
            <w:shd w:val="clear" w:color="auto" w:fill="F2F2F2"/>
          </w:tcPr>
          <w:p>
            <w:pPr>
              <w:jc w:val="center"/>
            </w:pPr>
            <w:r>
              <w:rPr>
                <w:sz w:val="20"/>
              </w:rPr>
              <w:t>6,000 mẫu</w:t>
            </w:r>
          </w:p>
        </w:tc>
        <w:tc>
          <w:tcPr>
            <w:tcW w:type="dxa" w:w="3685"/>
            <w:vAlign w:val="center"/>
            <w:shd w:val="clear" w:color="auto" w:fill="F2F2F2"/>
          </w:tcPr>
          <w:p>
            <w:pPr>
              <w:jc w:val="center"/>
            </w:pPr>
            <w:r>
              <w:rPr>
                <w:sz w:val="20"/>
              </w:rPr>
              <w:t>5,000 mẫu</w:t>
            </w:r>
          </w:p>
        </w:tc>
      </w:tr>
      <w:tr>
        <w:tc>
          <w:tcPr>
            <w:tcW w:type="dxa" w:w="2835"/>
            <w:vAlign w:val="center"/>
            <w:shd w:val="clear" w:color="auto" w:fill="FFFFFF"/>
          </w:tcPr>
          <w:p>
            <w:pPr>
              <w:jc w:val="center"/>
            </w:pPr>
            <w:r>
              <w:rPr>
                <w:sz w:val="20"/>
              </w:rPr>
              <w:t>Tập test</w:t>
            </w:r>
          </w:p>
        </w:tc>
        <w:tc>
          <w:tcPr>
            <w:tcW w:type="dxa" w:w="3685"/>
            <w:vAlign w:val="center"/>
            <w:shd w:val="clear" w:color="auto" w:fill="FFFFFF"/>
          </w:tcPr>
          <w:p>
            <w:pPr>
              <w:jc w:val="center"/>
            </w:pPr>
            <w:r>
              <w:rPr>
                <w:sz w:val="20"/>
              </w:rPr>
              <w:t>10,000 mẫu</w:t>
            </w:r>
          </w:p>
        </w:tc>
        <w:tc>
          <w:tcPr>
            <w:tcW w:type="dxa" w:w="3685"/>
            <w:vAlign w:val="center"/>
            <w:shd w:val="clear" w:color="auto" w:fill="FFFFFF"/>
          </w:tcPr>
          <w:p>
            <w:pPr>
              <w:jc w:val="center"/>
            </w:pPr>
            <w:r>
              <w:rPr>
                <w:sz w:val="20"/>
              </w:rPr>
              <w:t>10,000 mẫu</w:t>
            </w:r>
          </w:p>
        </w:tc>
      </w:tr>
      <w:tr>
        <w:tc>
          <w:tcPr>
            <w:tcW w:type="dxa" w:w="2835"/>
            <w:vAlign w:val="center"/>
            <w:shd w:val="clear" w:color="auto" w:fill="F2F2F2"/>
          </w:tcPr>
          <w:p>
            <w:pPr>
              <w:jc w:val="center"/>
            </w:pPr>
            <w:r>
              <w:rPr>
                <w:sz w:val="20"/>
              </w:rPr>
              <w:t>Augmentation train</w:t>
            </w:r>
          </w:p>
        </w:tc>
        <w:tc>
          <w:tcPr>
            <w:tcW w:type="dxa" w:w="3685"/>
            <w:vAlign w:val="center"/>
            <w:shd w:val="clear" w:color="auto" w:fill="F2F2F2"/>
          </w:tcPr>
          <w:p>
            <w:pPr>
              <w:jc w:val="center"/>
            </w:pPr>
            <w:r>
              <w:rPr>
                <w:sz w:val="20"/>
              </w:rPr>
              <w:t>RandomAffine ±10°, dịch 10%</w:t>
            </w:r>
          </w:p>
        </w:tc>
        <w:tc>
          <w:tcPr>
            <w:tcW w:type="dxa" w:w="3685"/>
            <w:vAlign w:val="center"/>
            <w:shd w:val="clear" w:color="auto" w:fill="F2F2F2"/>
          </w:tcPr>
          <w:p>
            <w:pPr>
              <w:jc w:val="center"/>
            </w:pPr>
            <w:r>
              <w:rPr>
                <w:sz w:val="20"/>
              </w:rPr>
              <w:t>RandomCrop(32, pad=4) + RandomHorizontalFlip</w:t>
            </w:r>
          </w:p>
        </w:tc>
      </w:tr>
    </w:tbl>
    <w:p/>
    <w:p>
      <w:pPr>
        <w:pStyle w:val="Heading2"/>
        <w:jc w:val="left"/>
      </w:pPr>
      <w:r>
        <w:rPr>
          <w:color w:val="1F3864"/>
        </w:rPr>
        <w:t>3.2. Kiến trúc mô hình (SimpleCNN)</w:t>
      </w:r>
    </w:p>
    <w:p>
      <w:pPr>
        <w:spacing w:after="120"/>
        <w:jc w:val="both"/>
      </w:pPr>
      <w:r>
        <w:rPr>
          <w:b w:val="0"/>
          <w:i w:val="0"/>
          <w:sz w:val="22"/>
        </w:rPr>
        <w:t>Thực nghiệm 1 và 2 sử dụng SimpleCNN tự xây dựng. Thực nghiệm 3 (Transfer Attack) bổ sung ResNet18 và MobileNetV2 trên CIFAR-10 để tạo môi trường đa kiến trúc.</w:t>
      </w:r>
    </w:p>
    <w:p>
      <w:pPr>
        <w:spacing w:before="120" w:after="40"/>
        <w:jc w:val="center"/>
      </w:pPr>
      <w:r>
        <w:drawing>
          <wp:inline xmlns:a="http://schemas.openxmlformats.org/drawingml/2006/main" xmlns:pic="http://schemas.openxmlformats.org/drawingml/2006/picture">
            <wp:extent cx="5400000" cy="3322165"/>
            <wp:docPr id="1" name="Picture 1"/>
            <wp:cNvGraphicFramePr>
              <a:graphicFrameLocks noChangeAspect="1"/>
            </wp:cNvGraphicFramePr>
            <a:graphic>
              <a:graphicData uri="http://schemas.openxmlformats.org/drawingml/2006/picture">
                <pic:pic>
                  <pic:nvPicPr>
                    <pic:cNvPr id="0" name="arch_mnist.png"/>
                    <pic:cNvPicPr/>
                  </pic:nvPicPr>
                  <pic:blipFill>
                    <a:blip r:embed="rId9"/>
                    <a:stretch>
                      <a:fillRect/>
                    </a:stretch>
                  </pic:blipFill>
                  <pic:spPr>
                    <a:xfrm>
                      <a:off x="0" y="0"/>
                      <a:ext cx="5400000" cy="3322165"/>
                    </a:xfrm>
                    <a:prstGeom prst="rect"/>
                  </pic:spPr>
                </pic:pic>
              </a:graphicData>
            </a:graphic>
          </wp:inline>
        </w:drawing>
      </w:r>
    </w:p>
    <w:p>
      <w:pPr>
        <w:spacing w:after="240"/>
        <w:jc w:val="center"/>
      </w:pPr>
      <w:r>
        <w:rPr>
          <w:i/>
          <w:color w:val="555555"/>
          <w:sz w:val="20"/>
        </w:rPr>
        <w:t>Hình 1. Kiến trúc SimpleCNN cho MNIST (1×28×28) — 2 Conv layers + 2 FC layers</w:t>
      </w:r>
    </w:p>
    <w:p>
      <w:pPr>
        <w:spacing w:before="120" w:after="40"/>
        <w:jc w:val="center"/>
      </w:pPr>
      <w:r>
        <w:drawing>
          <wp:inline xmlns:a="http://schemas.openxmlformats.org/drawingml/2006/main" xmlns:pic="http://schemas.openxmlformats.org/drawingml/2006/picture">
            <wp:extent cx="5400000" cy="2637282"/>
            <wp:docPr id="2" name="Picture 2"/>
            <wp:cNvGraphicFramePr>
              <a:graphicFrameLocks noChangeAspect="1"/>
            </wp:cNvGraphicFramePr>
            <a:graphic>
              <a:graphicData uri="http://schemas.openxmlformats.org/drawingml/2006/picture">
                <pic:pic>
                  <pic:nvPicPr>
                    <pic:cNvPr id="0" name="arch_cifar10.png"/>
                    <pic:cNvPicPr/>
                  </pic:nvPicPr>
                  <pic:blipFill>
                    <a:blip r:embed="rId10"/>
                    <a:stretch>
                      <a:fillRect/>
                    </a:stretch>
                  </pic:blipFill>
                  <pic:spPr>
                    <a:xfrm>
                      <a:off x="0" y="0"/>
                      <a:ext cx="5400000" cy="2637282"/>
                    </a:xfrm>
                    <a:prstGeom prst="rect"/>
                  </pic:spPr>
                </pic:pic>
              </a:graphicData>
            </a:graphic>
          </wp:inline>
        </w:drawing>
      </w:r>
    </w:p>
    <w:p>
      <w:pPr>
        <w:spacing w:after="240"/>
        <w:jc w:val="center"/>
      </w:pPr>
      <w:r>
        <w:rPr>
          <w:i/>
          <w:color w:val="555555"/>
          <w:sz w:val="20"/>
        </w:rPr>
        <w:t>Hình 2. Kiến trúc SimpleCNN cho CIFAR-10 (3×32×32) — 4 Conv layers + 2 FC layers</w:t>
      </w:r>
    </w:p>
    <w:tbl>
      <w:tblPr>
        <w:tblStyle w:val="TableGrid"/>
        <w:tblW w:type="auto" w:w="0"/>
        <w:jc w:val="center"/>
        <w:tblLook w:firstColumn="1" w:firstRow="1" w:lastColumn="0" w:lastRow="0" w:noHBand="0" w:noVBand="1" w:val="04A0"/>
      </w:tblPr>
      <w:tblGrid>
        <w:gridCol w:w="3135"/>
        <w:gridCol w:w="3135"/>
        <w:gridCol w:w="3135"/>
      </w:tblGrid>
      <w:tr>
        <w:tc>
          <w:tcPr>
            <w:tcW w:type="dxa" w:w="1984"/>
            <w:vAlign w:val="center"/>
            <w:shd w:val="clear" w:color="auto" w:fill="1F3864"/>
          </w:tcPr>
          <w:p>
            <w:pPr>
              <w:jc w:val="center"/>
            </w:pPr>
            <w:r>
              <w:rPr>
                <w:b/>
                <w:color w:val="FFFFFF"/>
                <w:sz w:val="20"/>
              </w:rPr>
              <w:t>Thành phần</w:t>
            </w:r>
          </w:p>
        </w:tc>
        <w:tc>
          <w:tcPr>
            <w:tcW w:type="dxa" w:w="3969"/>
            <w:vAlign w:val="center"/>
            <w:shd w:val="clear" w:color="auto" w:fill="1F3864"/>
          </w:tcPr>
          <w:p>
            <w:pPr>
              <w:jc w:val="center"/>
            </w:pPr>
            <w:r>
              <w:rPr>
                <w:b/>
                <w:color w:val="FFFFFF"/>
                <w:sz w:val="20"/>
              </w:rPr>
              <w:t>MNIST (1×28×28)</w:t>
            </w:r>
          </w:p>
        </w:tc>
        <w:tc>
          <w:tcPr>
            <w:tcW w:type="dxa" w:w="3969"/>
            <w:vAlign w:val="center"/>
            <w:shd w:val="clear" w:color="auto" w:fill="1F3864"/>
          </w:tcPr>
          <w:p>
            <w:pPr>
              <w:jc w:val="center"/>
            </w:pPr>
            <w:r>
              <w:rPr>
                <w:b/>
                <w:color w:val="FFFFFF"/>
                <w:sz w:val="20"/>
              </w:rPr>
              <w:t>CIFAR-10 (3×32×32)</w:t>
            </w:r>
          </w:p>
        </w:tc>
      </w:tr>
      <w:tr>
        <w:tc>
          <w:tcPr>
            <w:tcW w:type="dxa" w:w="1984"/>
            <w:vAlign w:val="center"/>
            <w:shd w:val="clear" w:color="auto" w:fill="F2F2F2"/>
          </w:tcPr>
          <w:p>
            <w:pPr>
              <w:jc w:val="center"/>
            </w:pPr>
            <w:r>
              <w:rPr>
                <w:sz w:val="20"/>
              </w:rPr>
              <w:t>Block 1</w:t>
            </w:r>
          </w:p>
        </w:tc>
        <w:tc>
          <w:tcPr>
            <w:tcW w:type="dxa" w:w="3969"/>
            <w:vAlign w:val="center"/>
            <w:shd w:val="clear" w:color="auto" w:fill="F2F2F2"/>
          </w:tcPr>
          <w:p>
            <w:pPr>
              <w:jc w:val="center"/>
            </w:pPr>
            <w:r>
              <w:rPr>
                <w:sz w:val="20"/>
              </w:rPr>
              <w:t>Conv(1→32,3×3)→BN→ReLU</w:t>
              <w:br/>
              <w:t>Conv(32→32,3×3)→BN→ReLU</w:t>
              <w:br/>
              <w:t>MaxPool(2×2)→Dropout2d(0.25)</w:t>
            </w:r>
          </w:p>
        </w:tc>
        <w:tc>
          <w:tcPr>
            <w:tcW w:type="dxa" w:w="3969"/>
            <w:vAlign w:val="center"/>
            <w:shd w:val="clear" w:color="auto" w:fill="F2F2F2"/>
          </w:tcPr>
          <w:p>
            <w:pPr>
              <w:jc w:val="center"/>
            </w:pPr>
            <w:r>
              <w:rPr>
                <w:sz w:val="20"/>
              </w:rPr>
              <w:t>Conv(3→32,3×3)→BN→ReLU</w:t>
              <w:br/>
              <w:t>Conv(32→32,3×3)→BN→ReLU</w:t>
              <w:br/>
              <w:t>MaxPool(2×2)→Dropout2d(0.25)</w:t>
            </w:r>
          </w:p>
        </w:tc>
      </w:tr>
      <w:tr>
        <w:tc>
          <w:tcPr>
            <w:tcW w:type="dxa" w:w="1984"/>
            <w:vAlign w:val="center"/>
            <w:shd w:val="clear" w:color="auto" w:fill="FFFFFF"/>
          </w:tcPr>
          <w:p>
            <w:pPr>
              <w:jc w:val="center"/>
            </w:pPr>
            <w:r>
              <w:rPr>
                <w:sz w:val="20"/>
              </w:rPr>
              <w:t>Block 2</w:t>
            </w:r>
          </w:p>
        </w:tc>
        <w:tc>
          <w:tcPr>
            <w:tcW w:type="dxa" w:w="3969"/>
            <w:vAlign w:val="center"/>
            <w:shd w:val="clear" w:color="auto" w:fill="FFFFFF"/>
          </w:tcPr>
          <w:p>
            <w:pPr>
              <w:jc w:val="center"/>
            </w:pPr>
            <w:r>
              <w:rPr>
                <w:sz w:val="20"/>
              </w:rPr>
              <w:t>—</w:t>
            </w:r>
          </w:p>
        </w:tc>
        <w:tc>
          <w:tcPr>
            <w:tcW w:type="dxa" w:w="3969"/>
            <w:vAlign w:val="center"/>
            <w:shd w:val="clear" w:color="auto" w:fill="FFFFFF"/>
          </w:tcPr>
          <w:p>
            <w:pPr>
              <w:jc w:val="center"/>
            </w:pPr>
            <w:r>
              <w:rPr>
                <w:sz w:val="20"/>
              </w:rPr>
              <w:t>Conv(32→64,3×3)→BN→ReLU</w:t>
              <w:br/>
              <w:t>Conv(64→64,3×3)→BN→ReLU</w:t>
              <w:br/>
              <w:t>MaxPool(2×2)→Dropout2d(0.25)</w:t>
            </w:r>
          </w:p>
        </w:tc>
      </w:tr>
      <w:tr>
        <w:tc>
          <w:tcPr>
            <w:tcW w:type="dxa" w:w="1984"/>
            <w:vAlign w:val="center"/>
            <w:shd w:val="clear" w:color="auto" w:fill="F2F2F2"/>
          </w:tcPr>
          <w:p>
            <w:pPr>
              <w:jc w:val="center"/>
            </w:pPr>
            <w:r>
              <w:rPr>
                <w:sz w:val="20"/>
              </w:rPr>
              <w:t>Classifier</w:t>
            </w:r>
          </w:p>
        </w:tc>
        <w:tc>
          <w:tcPr>
            <w:tcW w:type="dxa" w:w="3969"/>
            <w:vAlign w:val="center"/>
            <w:shd w:val="clear" w:color="auto" w:fill="F2F2F2"/>
          </w:tcPr>
          <w:p>
            <w:pPr>
              <w:jc w:val="center"/>
            </w:pPr>
            <w:r>
              <w:rPr>
                <w:sz w:val="20"/>
              </w:rPr>
              <w:t>Flatten→Linear(6272→512)</w:t>
              <w:br/>
              <w:t>→ReLU→Dropout(0.5)→Linear(512→10)</w:t>
            </w:r>
          </w:p>
        </w:tc>
        <w:tc>
          <w:tcPr>
            <w:tcW w:type="dxa" w:w="3969"/>
            <w:vAlign w:val="center"/>
            <w:shd w:val="clear" w:color="auto" w:fill="F2F2F2"/>
          </w:tcPr>
          <w:p>
            <w:pPr>
              <w:jc w:val="center"/>
            </w:pPr>
            <w:r>
              <w:rPr>
                <w:sz w:val="20"/>
              </w:rPr>
              <w:t>Flatten→Linear(4096→512)</w:t>
              <w:br/>
              <w:t>→ReLU→Dropout(0.5)→Linear(512→10)</w:t>
            </w:r>
          </w:p>
        </w:tc>
      </w:tr>
    </w:tbl>
    <w:p/>
    <w:p>
      <w:pPr>
        <w:pStyle w:val="Heading2"/>
        <w:jc w:val="left"/>
      </w:pPr>
      <w:r>
        <w:rPr>
          <w:color w:val="1F3864"/>
        </w:rPr>
        <w:t>3.3. Hyperparameter huấn luyện</w:t>
      </w:r>
    </w:p>
    <w:tbl>
      <w:tblPr>
        <w:tblStyle w:val="TableGrid"/>
        <w:tblW w:type="auto" w:w="0"/>
        <w:jc w:val="center"/>
        <w:tblLook w:firstColumn="1" w:firstRow="1" w:lastColumn="0" w:lastRow="0" w:noHBand="0" w:noVBand="1" w:val="04A0"/>
      </w:tblPr>
      <w:tblGrid>
        <w:gridCol w:w="4702"/>
        <w:gridCol w:w="4702"/>
      </w:tblGrid>
      <w:tr>
        <w:tc>
          <w:tcPr>
            <w:tcW w:type="dxa" w:w="3118"/>
            <w:vAlign w:val="center"/>
            <w:shd w:val="clear" w:color="auto" w:fill="1F3864"/>
          </w:tcPr>
          <w:p>
            <w:pPr>
              <w:jc w:val="center"/>
            </w:pPr>
            <w:r>
              <w:rPr>
                <w:b/>
                <w:color w:val="FFFFFF"/>
                <w:sz w:val="20"/>
              </w:rPr>
              <w:t>Tham số</w:t>
            </w:r>
          </w:p>
        </w:tc>
        <w:tc>
          <w:tcPr>
            <w:tcW w:type="dxa" w:w="6520"/>
            <w:vAlign w:val="center"/>
            <w:shd w:val="clear" w:color="auto" w:fill="1F3864"/>
          </w:tcPr>
          <w:p>
            <w:pPr>
              <w:jc w:val="center"/>
            </w:pPr>
            <w:r>
              <w:rPr>
                <w:b/>
                <w:color w:val="FFFFFF"/>
                <w:sz w:val="20"/>
              </w:rPr>
              <w:t>Giá trị</w:t>
            </w:r>
          </w:p>
        </w:tc>
      </w:tr>
      <w:tr>
        <w:tc>
          <w:tcPr>
            <w:tcW w:type="dxa" w:w="3118"/>
            <w:vAlign w:val="center"/>
            <w:shd w:val="clear" w:color="auto" w:fill="F2F2F2"/>
          </w:tcPr>
          <w:p>
            <w:pPr>
              <w:jc w:val="center"/>
            </w:pPr>
            <w:r>
              <w:rPr>
                <w:sz w:val="20"/>
              </w:rPr>
              <w:t>Optimizer</w:t>
            </w:r>
          </w:p>
        </w:tc>
        <w:tc>
          <w:tcPr>
            <w:tcW w:type="dxa" w:w="6520"/>
            <w:vAlign w:val="center"/>
            <w:shd w:val="clear" w:color="auto" w:fill="F2F2F2"/>
          </w:tcPr>
          <w:p>
            <w:pPr>
              <w:jc w:val="center"/>
            </w:pPr>
            <w:r>
              <w:rPr>
                <w:sz w:val="20"/>
              </w:rPr>
              <w:t>Adam (lr=0.001, weight_decay=1e-4)</w:t>
            </w:r>
          </w:p>
        </w:tc>
      </w:tr>
      <w:tr>
        <w:tc>
          <w:tcPr>
            <w:tcW w:type="dxa" w:w="3118"/>
            <w:vAlign w:val="center"/>
            <w:shd w:val="clear" w:color="auto" w:fill="FFFFFF"/>
          </w:tcPr>
          <w:p>
            <w:pPr>
              <w:jc w:val="center"/>
            </w:pPr>
            <w:r>
              <w:rPr>
                <w:sz w:val="20"/>
              </w:rPr>
              <w:t>LR Scheduler</w:t>
            </w:r>
          </w:p>
        </w:tc>
        <w:tc>
          <w:tcPr>
            <w:tcW w:type="dxa" w:w="6520"/>
            <w:vAlign w:val="center"/>
            <w:shd w:val="clear" w:color="auto" w:fill="FFFFFF"/>
          </w:tcPr>
          <w:p>
            <w:pPr>
              <w:jc w:val="center"/>
            </w:pPr>
            <w:r>
              <w:rPr>
                <w:sz w:val="20"/>
              </w:rPr>
              <w:t>StepLR (step=10, γ=0.1)</w:t>
            </w:r>
          </w:p>
        </w:tc>
      </w:tr>
      <w:tr>
        <w:tc>
          <w:tcPr>
            <w:tcW w:type="dxa" w:w="3118"/>
            <w:vAlign w:val="center"/>
            <w:shd w:val="clear" w:color="auto" w:fill="F2F2F2"/>
          </w:tcPr>
          <w:p>
            <w:pPr>
              <w:jc w:val="center"/>
            </w:pPr>
            <w:r>
              <w:rPr>
                <w:sz w:val="20"/>
              </w:rPr>
              <w:t>Epochs</w:t>
            </w:r>
          </w:p>
        </w:tc>
        <w:tc>
          <w:tcPr>
            <w:tcW w:type="dxa" w:w="6520"/>
            <w:vAlign w:val="center"/>
            <w:shd w:val="clear" w:color="auto" w:fill="F2F2F2"/>
          </w:tcPr>
          <w:p>
            <w:pPr>
              <w:jc w:val="center"/>
            </w:pPr>
            <w:r>
              <w:rPr>
                <w:sz w:val="20"/>
              </w:rPr>
              <w:t>20</w:t>
            </w:r>
          </w:p>
        </w:tc>
      </w:tr>
      <w:tr>
        <w:tc>
          <w:tcPr>
            <w:tcW w:type="dxa" w:w="3118"/>
            <w:vAlign w:val="center"/>
            <w:shd w:val="clear" w:color="auto" w:fill="FFFFFF"/>
          </w:tcPr>
          <w:p>
            <w:pPr>
              <w:jc w:val="center"/>
            </w:pPr>
            <w:r>
              <w:rPr>
                <w:sz w:val="20"/>
              </w:rPr>
              <w:t>Batch size</w:t>
            </w:r>
          </w:p>
        </w:tc>
        <w:tc>
          <w:tcPr>
            <w:tcW w:type="dxa" w:w="6520"/>
            <w:vAlign w:val="center"/>
            <w:shd w:val="clear" w:color="auto" w:fill="FFFFFF"/>
          </w:tcPr>
          <w:p>
            <w:pPr>
              <w:jc w:val="center"/>
            </w:pPr>
            <w:r>
              <w:rPr>
                <w:sz w:val="20"/>
              </w:rPr>
              <w:t>64</w:t>
            </w:r>
          </w:p>
        </w:tc>
      </w:tr>
      <w:tr>
        <w:tc>
          <w:tcPr>
            <w:tcW w:type="dxa" w:w="3118"/>
            <w:vAlign w:val="center"/>
            <w:shd w:val="clear" w:color="auto" w:fill="F2F2F2"/>
          </w:tcPr>
          <w:p>
            <w:pPr>
              <w:jc w:val="center"/>
            </w:pPr>
            <w:r>
              <w:rPr>
                <w:sz w:val="20"/>
              </w:rPr>
              <w:t>Loss function</w:t>
            </w:r>
          </w:p>
        </w:tc>
        <w:tc>
          <w:tcPr>
            <w:tcW w:type="dxa" w:w="6520"/>
            <w:vAlign w:val="center"/>
            <w:shd w:val="clear" w:color="auto" w:fill="F2F2F2"/>
          </w:tcPr>
          <w:p>
            <w:pPr>
              <w:jc w:val="center"/>
            </w:pPr>
            <w:r>
              <w:rPr>
                <w:sz w:val="20"/>
              </w:rPr>
              <w:t>Cross-Entropy</w:t>
            </w:r>
          </w:p>
        </w:tc>
      </w:tr>
      <w:tr>
        <w:tc>
          <w:tcPr>
            <w:tcW w:type="dxa" w:w="3118"/>
            <w:vAlign w:val="center"/>
            <w:shd w:val="clear" w:color="auto" w:fill="FFFFFF"/>
          </w:tcPr>
          <w:p>
            <w:pPr>
              <w:jc w:val="center"/>
            </w:pPr>
            <w:r>
              <w:rPr>
                <w:sz w:val="20"/>
              </w:rPr>
              <w:t>Checkpointing</w:t>
            </w:r>
          </w:p>
        </w:tc>
        <w:tc>
          <w:tcPr>
            <w:tcW w:type="dxa" w:w="6520"/>
            <w:vAlign w:val="center"/>
            <w:shd w:val="clear" w:color="auto" w:fill="FFFFFF"/>
          </w:tcPr>
          <w:p>
            <w:pPr>
              <w:jc w:val="center"/>
            </w:pPr>
            <w:r>
              <w:rPr>
                <w:sz w:val="20"/>
              </w:rPr>
              <w:t>Lưu model tốt nhất theo val accuracy</w:t>
            </w:r>
          </w:p>
        </w:tc>
      </w:tr>
    </w:tbl>
    <w:p/>
    <w:p>
      <w:pPr>
        <w:pStyle w:val="Heading2"/>
        <w:jc w:val="left"/>
      </w:pPr>
      <w:r>
        <w:rPr>
          <w:color w:val="1F3864"/>
        </w:rPr>
        <w:t>3.4. Cấu hình tấn công FGSM</w:t>
      </w:r>
    </w:p>
    <w:tbl>
      <w:tblPr>
        <w:tblStyle w:val="TableGrid"/>
        <w:tblW w:type="auto" w:w="0"/>
        <w:jc w:val="center"/>
        <w:tblLook w:firstColumn="1" w:firstRow="1" w:lastColumn="0" w:lastRow="0" w:noHBand="0" w:noVBand="1" w:val="04A0"/>
      </w:tblPr>
      <w:tblGrid>
        <w:gridCol w:w="3135"/>
        <w:gridCol w:w="3135"/>
        <w:gridCol w:w="3135"/>
      </w:tblGrid>
      <w:tr>
        <w:tc>
          <w:tcPr>
            <w:tcW w:type="dxa" w:w="2551"/>
            <w:vAlign w:val="center"/>
            <w:shd w:val="clear" w:color="auto" w:fill="1F3864"/>
          </w:tcPr>
          <w:p>
            <w:pPr>
              <w:jc w:val="center"/>
            </w:pPr>
            <w:r>
              <w:rPr>
                <w:b/>
                <w:color w:val="FFFFFF"/>
                <w:sz w:val="20"/>
              </w:rPr>
              <w:t>Tham số</w:t>
            </w:r>
          </w:p>
        </w:tc>
        <w:tc>
          <w:tcPr>
            <w:tcW w:type="dxa" w:w="3969"/>
            <w:vAlign w:val="center"/>
            <w:shd w:val="clear" w:color="auto" w:fill="1F3864"/>
          </w:tcPr>
          <w:p>
            <w:pPr>
              <w:jc w:val="center"/>
            </w:pPr>
            <w:r>
              <w:rPr>
                <w:b/>
                <w:color w:val="FFFFFF"/>
                <w:sz w:val="20"/>
              </w:rPr>
              <w:t>Giá trị</w:t>
            </w:r>
          </w:p>
        </w:tc>
        <w:tc>
          <w:tcPr>
            <w:tcW w:type="dxa" w:w="3402"/>
            <w:vAlign w:val="center"/>
            <w:shd w:val="clear" w:color="auto" w:fill="1F3864"/>
          </w:tcPr>
          <w:p>
            <w:pPr>
              <w:jc w:val="center"/>
            </w:pPr>
            <w:r>
              <w:rPr>
                <w:b/>
                <w:color w:val="FFFFFF"/>
                <w:sz w:val="20"/>
              </w:rPr>
              <w:t>Ghi chú</w:t>
            </w:r>
          </w:p>
        </w:tc>
      </w:tr>
      <w:tr>
        <w:tc>
          <w:tcPr>
            <w:tcW w:type="dxa" w:w="2551"/>
            <w:vAlign w:val="center"/>
            <w:shd w:val="clear" w:color="auto" w:fill="F2F2F2"/>
          </w:tcPr>
          <w:p>
            <w:pPr>
              <w:jc w:val="center"/>
            </w:pPr>
            <w:r>
              <w:rPr>
                <w:sz w:val="20"/>
              </w:rPr>
              <w:t>ε (epsilon_list)</w:t>
            </w:r>
          </w:p>
        </w:tc>
        <w:tc>
          <w:tcPr>
            <w:tcW w:type="dxa" w:w="3969"/>
            <w:vAlign w:val="center"/>
            <w:shd w:val="clear" w:color="auto" w:fill="F2F2F2"/>
          </w:tcPr>
          <w:p>
            <w:pPr>
              <w:jc w:val="center"/>
            </w:pPr>
            <w:r>
              <w:rPr>
                <w:sz w:val="20"/>
              </w:rPr>
              <w:t>[0.05, 0.10, 0.15, 0.20, 0.25, 0.30]</w:t>
            </w:r>
          </w:p>
        </w:tc>
        <w:tc>
          <w:tcPr>
            <w:tcW w:type="dxa" w:w="3402"/>
            <w:vAlign w:val="center"/>
            <w:shd w:val="clear" w:color="auto" w:fill="F2F2F2"/>
          </w:tcPr>
          <w:p>
            <w:pPr>
              <w:jc w:val="center"/>
            </w:pPr>
            <w:r>
              <w:rPr>
                <w:sz w:val="20"/>
              </w:rPr>
              <w:t>Sweep cho Thực nghiệm 1</w:t>
            </w:r>
          </w:p>
        </w:tc>
      </w:tr>
      <w:tr>
        <w:tc>
          <w:tcPr>
            <w:tcW w:type="dxa" w:w="2551"/>
            <w:vAlign w:val="center"/>
            <w:shd w:val="clear" w:color="auto" w:fill="FFFFFF"/>
          </w:tcPr>
          <w:p>
            <w:pPr>
              <w:jc w:val="center"/>
            </w:pPr>
            <w:r>
              <w:rPr>
                <w:sz w:val="20"/>
              </w:rPr>
              <w:t>Targeted</w:t>
            </w:r>
          </w:p>
        </w:tc>
        <w:tc>
          <w:tcPr>
            <w:tcW w:type="dxa" w:w="3969"/>
            <w:vAlign w:val="center"/>
            <w:shd w:val="clear" w:color="auto" w:fill="FFFFFF"/>
          </w:tcPr>
          <w:p>
            <w:pPr>
              <w:jc w:val="center"/>
            </w:pPr>
            <w:r>
              <w:rPr>
                <w:sz w:val="20"/>
              </w:rPr>
              <w:t>False</w:t>
            </w:r>
          </w:p>
        </w:tc>
        <w:tc>
          <w:tcPr>
            <w:tcW w:type="dxa" w:w="3402"/>
            <w:vAlign w:val="center"/>
            <w:shd w:val="clear" w:color="auto" w:fill="FFFFFF"/>
          </w:tcPr>
          <w:p>
            <w:pPr>
              <w:jc w:val="center"/>
            </w:pPr>
            <w:r>
              <w:rPr>
                <w:sz w:val="20"/>
              </w:rPr>
              <w:t>Untargeted attack</w:t>
            </w:r>
          </w:p>
        </w:tc>
      </w:tr>
      <w:tr>
        <w:tc>
          <w:tcPr>
            <w:tcW w:type="dxa" w:w="2551"/>
            <w:vAlign w:val="center"/>
            <w:shd w:val="clear" w:color="auto" w:fill="F2F2F2"/>
          </w:tcPr>
          <w:p>
            <w:pPr>
              <w:jc w:val="center"/>
            </w:pPr>
            <w:r>
              <w:rPr>
                <w:sz w:val="20"/>
              </w:rPr>
              <w:t>Clip range</w:t>
            </w:r>
          </w:p>
        </w:tc>
        <w:tc>
          <w:tcPr>
            <w:tcW w:type="dxa" w:w="3969"/>
            <w:vAlign w:val="center"/>
            <w:shd w:val="clear" w:color="auto" w:fill="F2F2F2"/>
          </w:tcPr>
          <w:p>
            <w:pPr>
              <w:jc w:val="center"/>
            </w:pPr>
            <w:r>
              <w:rPr>
                <w:sz w:val="20"/>
              </w:rPr>
              <w:t>[0.0, 1.0]</w:t>
            </w:r>
          </w:p>
        </w:tc>
        <w:tc>
          <w:tcPr>
            <w:tcW w:type="dxa" w:w="3402"/>
            <w:vAlign w:val="center"/>
            <w:shd w:val="clear" w:color="auto" w:fill="F2F2F2"/>
          </w:tcPr>
          <w:p>
            <w:pPr>
              <w:jc w:val="center"/>
            </w:pPr>
            <w:r>
              <w:rPr>
                <w:sz w:val="20"/>
              </w:rPr>
              <w:t>Giới hạn giá trị pixel</w:t>
            </w:r>
          </w:p>
        </w:tc>
      </w:tr>
      <w:tr>
        <w:tc>
          <w:tcPr>
            <w:tcW w:type="dxa" w:w="2551"/>
            <w:vAlign w:val="center"/>
            <w:shd w:val="clear" w:color="auto" w:fill="FFFFFF"/>
          </w:tcPr>
          <w:p>
            <w:pPr>
              <w:jc w:val="center"/>
            </w:pPr>
            <w:r>
              <w:rPr>
                <w:sz w:val="20"/>
              </w:rPr>
              <w:t>Số mẫu eval</w:t>
            </w:r>
          </w:p>
        </w:tc>
        <w:tc>
          <w:tcPr>
            <w:tcW w:type="dxa" w:w="3969"/>
            <w:vAlign w:val="center"/>
            <w:shd w:val="clear" w:color="auto" w:fill="FFFFFF"/>
          </w:tcPr>
          <w:p>
            <w:pPr>
              <w:jc w:val="center"/>
            </w:pPr>
            <w:r>
              <w:rPr>
                <w:sz w:val="20"/>
              </w:rPr>
              <w:t>1,280</w:t>
            </w:r>
          </w:p>
        </w:tc>
        <w:tc>
          <w:tcPr>
            <w:tcW w:type="dxa" w:w="3402"/>
            <w:vAlign w:val="center"/>
            <w:shd w:val="clear" w:color="auto" w:fill="FFFFFF"/>
          </w:tcPr>
          <w:p>
            <w:pPr>
              <w:jc w:val="center"/>
            </w:pPr>
            <w:r>
              <w:rPr>
                <w:sz w:val="20"/>
              </w:rPr>
              <w:t>Lấy mẫu ngẫu nhiên từ test set</w:t>
            </w:r>
          </w:p>
        </w:tc>
      </w:tr>
    </w:tbl>
    <w:p/>
    <w:p/>
    <w:p>
      <w:pPr>
        <w:pStyle w:val="Heading1"/>
        <w:jc w:val="left"/>
      </w:pPr>
      <w:r>
        <w:rPr>
          <w:color w:val="1F3864"/>
        </w:rPr>
        <w:t>4. Kết quả huấn luyện</w:t>
      </w:r>
    </w:p>
    <w:p>
      <w:pPr>
        <w:spacing w:after="120"/>
        <w:jc w:val="both"/>
      </w:pPr>
      <w:r>
        <w:rPr>
          <w:b w:val="0"/>
          <w:i w:val="0"/>
          <w:sz w:val="22"/>
        </w:rPr>
        <w:t>Tất cả mô hình được huấn luyện trong 20 epoch với cùng hyperparameter. Kết quả cuối cùng trên tập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vAlign w:val="center"/>
            <w:shd w:val="clear" w:color="auto" w:fill="1F3864"/>
          </w:tcPr>
          <w:p>
            <w:pPr>
              <w:jc w:val="center"/>
            </w:pPr>
            <w:r>
              <w:rPr>
                <w:b/>
                <w:color w:val="FFFFFF"/>
                <w:sz w:val="20"/>
              </w:rPr>
              <w:t>Dataset</w:t>
            </w:r>
          </w:p>
        </w:tc>
        <w:tc>
          <w:tcPr>
            <w:tcW w:type="dxa" w:w="1984"/>
            <w:vAlign w:val="center"/>
            <w:shd w:val="clear" w:color="auto" w:fill="1F3864"/>
          </w:tcPr>
          <w:p>
            <w:pPr>
              <w:jc w:val="center"/>
            </w:pPr>
            <w:r>
              <w:rPr>
                <w:b/>
                <w:color w:val="FFFFFF"/>
                <w:sz w:val="20"/>
              </w:rPr>
              <w:t>Mô hình</w:t>
            </w:r>
          </w:p>
        </w:tc>
        <w:tc>
          <w:tcPr>
            <w:tcW w:type="dxa" w:w="3118"/>
            <w:vAlign w:val="center"/>
            <w:shd w:val="clear" w:color="auto" w:fill="1F3864"/>
          </w:tcPr>
          <w:p>
            <w:pPr>
              <w:jc w:val="center"/>
            </w:pPr>
            <w:r>
              <w:rPr>
                <w:b/>
                <w:color w:val="FFFFFF"/>
                <w:sz w:val="20"/>
              </w:rPr>
              <w:t>Val Accuracy tốt nhất</w:t>
            </w:r>
          </w:p>
        </w:tc>
        <w:tc>
          <w:tcPr>
            <w:tcW w:type="dxa" w:w="3118"/>
            <w:vAlign w:val="center"/>
            <w:shd w:val="clear" w:color="auto" w:fill="1F3864"/>
          </w:tcPr>
          <w:p>
            <w:pPr>
              <w:jc w:val="center"/>
            </w:pPr>
            <w:r>
              <w:rPr>
                <w:b/>
                <w:color w:val="FFFFFF"/>
                <w:sz w:val="20"/>
              </w:rPr>
              <w:t>Test Accuracy</w:t>
            </w:r>
          </w:p>
        </w:tc>
      </w:tr>
      <w:tr>
        <w:tc>
          <w:tcPr>
            <w:tcW w:type="dxa" w:w="1984"/>
            <w:vAlign w:val="center"/>
            <w:shd w:val="clear" w:color="auto" w:fill="F2F2F2"/>
          </w:tcPr>
          <w:p>
            <w:pPr>
              <w:jc w:val="center"/>
            </w:pPr>
            <w:r>
              <w:rPr>
                <w:sz w:val="20"/>
              </w:rPr>
              <w:t>MNIST</w:t>
            </w:r>
          </w:p>
        </w:tc>
        <w:tc>
          <w:tcPr>
            <w:tcW w:type="dxa" w:w="1984"/>
            <w:vAlign w:val="center"/>
            <w:shd w:val="clear" w:color="auto" w:fill="F2F2F2"/>
          </w:tcPr>
          <w:p>
            <w:pPr>
              <w:jc w:val="center"/>
            </w:pPr>
            <w:r>
              <w:rPr>
                <w:sz w:val="20"/>
              </w:rPr>
              <w:t>SimpleCNN</w:t>
            </w:r>
          </w:p>
        </w:tc>
        <w:tc>
          <w:tcPr>
            <w:tcW w:type="dxa" w:w="3118"/>
            <w:vAlign w:val="center"/>
            <w:shd w:val="clear" w:color="auto" w:fill="F2F2F2"/>
          </w:tcPr>
          <w:p>
            <w:pPr>
              <w:jc w:val="center"/>
            </w:pPr>
            <w:r>
              <w:rPr>
                <w:sz w:val="20"/>
              </w:rPr>
              <w:t>98.98%</w:t>
            </w:r>
          </w:p>
        </w:tc>
        <w:tc>
          <w:tcPr>
            <w:tcW w:type="dxa" w:w="3118"/>
            <w:vAlign w:val="center"/>
            <w:shd w:val="clear" w:color="auto" w:fill="F2F2F2"/>
          </w:tcPr>
          <w:p>
            <w:pPr>
              <w:jc w:val="center"/>
            </w:pPr>
            <w:r>
              <w:rPr>
                <w:sz w:val="20"/>
              </w:rPr>
              <w:t>99.45%</w:t>
            </w:r>
          </w:p>
        </w:tc>
      </w:tr>
      <w:tr>
        <w:tc>
          <w:tcPr>
            <w:tcW w:type="dxa" w:w="1984"/>
            <w:vAlign w:val="center"/>
            <w:shd w:val="clear" w:color="auto" w:fill="FFFFFF"/>
          </w:tcPr>
          <w:p>
            <w:pPr>
              <w:jc w:val="center"/>
            </w:pPr>
            <w:r>
              <w:rPr>
                <w:sz w:val="20"/>
              </w:rPr>
              <w:t>CIFAR-10</w:t>
            </w:r>
          </w:p>
        </w:tc>
        <w:tc>
          <w:tcPr>
            <w:tcW w:type="dxa" w:w="1984"/>
            <w:vAlign w:val="center"/>
            <w:shd w:val="clear" w:color="auto" w:fill="FFFFFF"/>
          </w:tcPr>
          <w:p>
            <w:pPr>
              <w:jc w:val="center"/>
            </w:pPr>
            <w:r>
              <w:rPr>
                <w:sz w:val="20"/>
              </w:rPr>
              <w:t>SimpleCNN</w:t>
            </w:r>
          </w:p>
        </w:tc>
        <w:tc>
          <w:tcPr>
            <w:tcW w:type="dxa" w:w="3118"/>
            <w:vAlign w:val="center"/>
            <w:shd w:val="clear" w:color="auto" w:fill="FFFFFF"/>
          </w:tcPr>
          <w:p>
            <w:pPr>
              <w:jc w:val="center"/>
            </w:pPr>
            <w:r>
              <w:rPr>
                <w:sz w:val="20"/>
              </w:rPr>
              <w:t>74.36%</w:t>
            </w:r>
          </w:p>
        </w:tc>
        <w:tc>
          <w:tcPr>
            <w:tcW w:type="dxa" w:w="3118"/>
            <w:vAlign w:val="center"/>
            <w:shd w:val="clear" w:color="auto" w:fill="FFFFFF"/>
          </w:tcPr>
          <w:p>
            <w:pPr>
              <w:jc w:val="center"/>
            </w:pPr>
            <w:r>
              <w:rPr>
                <w:sz w:val="20"/>
              </w:rPr>
              <w:t>76.02%</w:t>
            </w:r>
          </w:p>
        </w:tc>
      </w:tr>
      <w:tr>
        <w:tc>
          <w:tcPr>
            <w:tcW w:type="dxa" w:w="1984"/>
            <w:vAlign w:val="center"/>
            <w:shd w:val="clear" w:color="auto" w:fill="F2F2F2"/>
          </w:tcPr>
          <w:p>
            <w:pPr>
              <w:jc w:val="center"/>
            </w:pPr>
            <w:r>
              <w:rPr>
                <w:sz w:val="20"/>
              </w:rPr>
              <w:t>CIFAR-10</w:t>
            </w:r>
          </w:p>
        </w:tc>
        <w:tc>
          <w:tcPr>
            <w:tcW w:type="dxa" w:w="1984"/>
            <w:vAlign w:val="center"/>
            <w:shd w:val="clear" w:color="auto" w:fill="F2F2F2"/>
          </w:tcPr>
          <w:p>
            <w:pPr>
              <w:jc w:val="center"/>
            </w:pPr>
            <w:r>
              <w:rPr>
                <w:sz w:val="20"/>
              </w:rPr>
              <w:t>ResNet18</w:t>
            </w:r>
          </w:p>
        </w:tc>
        <w:tc>
          <w:tcPr>
            <w:tcW w:type="dxa" w:w="3118"/>
            <w:vAlign w:val="center"/>
            <w:shd w:val="clear" w:color="auto" w:fill="F2F2F2"/>
          </w:tcPr>
          <w:p>
            <w:pPr>
              <w:jc w:val="center"/>
            </w:pPr>
            <w:r>
              <w:rPr>
                <w:sz w:val="20"/>
              </w:rPr>
              <w:t>81.86%</w:t>
            </w:r>
          </w:p>
        </w:tc>
        <w:tc>
          <w:tcPr>
            <w:tcW w:type="dxa" w:w="3118"/>
            <w:vAlign w:val="center"/>
            <w:shd w:val="clear" w:color="auto" w:fill="F2F2F2"/>
          </w:tcPr>
          <w:p>
            <w:pPr>
              <w:jc w:val="center"/>
            </w:pPr>
            <w:r>
              <w:rPr>
                <w:sz w:val="20"/>
              </w:rPr>
              <w:t>82.00%</w:t>
            </w:r>
          </w:p>
        </w:tc>
      </w:tr>
      <w:tr>
        <w:tc>
          <w:tcPr>
            <w:tcW w:type="dxa" w:w="1984"/>
            <w:vAlign w:val="center"/>
            <w:shd w:val="clear" w:color="auto" w:fill="FFFFFF"/>
          </w:tcPr>
          <w:p>
            <w:pPr>
              <w:jc w:val="center"/>
            </w:pPr>
            <w:r>
              <w:rPr>
                <w:sz w:val="20"/>
              </w:rPr>
              <w:t>CIFAR-10</w:t>
            </w:r>
          </w:p>
        </w:tc>
        <w:tc>
          <w:tcPr>
            <w:tcW w:type="dxa" w:w="1984"/>
            <w:vAlign w:val="center"/>
            <w:shd w:val="clear" w:color="auto" w:fill="FFFFFF"/>
          </w:tcPr>
          <w:p>
            <w:pPr>
              <w:jc w:val="center"/>
            </w:pPr>
            <w:r>
              <w:rPr>
                <w:sz w:val="20"/>
              </w:rPr>
              <w:t>MobileNetV2</w:t>
            </w:r>
          </w:p>
        </w:tc>
        <w:tc>
          <w:tcPr>
            <w:tcW w:type="dxa" w:w="3118"/>
            <w:vAlign w:val="center"/>
            <w:shd w:val="clear" w:color="auto" w:fill="FFFFFF"/>
          </w:tcPr>
          <w:p>
            <w:pPr>
              <w:jc w:val="center"/>
            </w:pPr>
            <w:r>
              <w:rPr>
                <w:sz w:val="20"/>
              </w:rPr>
              <w:t>84.12%</w:t>
            </w:r>
          </w:p>
        </w:tc>
        <w:tc>
          <w:tcPr>
            <w:tcW w:type="dxa" w:w="3118"/>
            <w:vAlign w:val="center"/>
            <w:shd w:val="clear" w:color="auto" w:fill="FFFFFF"/>
          </w:tcPr>
          <w:p>
            <w:pPr>
              <w:jc w:val="center"/>
            </w:pPr>
            <w:r>
              <w:rPr>
                <w:sz w:val="20"/>
              </w:rPr>
              <w:t>84.42%</w:t>
            </w:r>
          </w:p>
        </w:tc>
      </w:tr>
    </w:tbl>
    <w:p/>
    <w:p>
      <w:pPr>
        <w:spacing w:after="120"/>
        <w:jc w:val="both"/>
      </w:pPr>
      <w:r>
        <w:rPr>
          <w:b w:val="0"/>
          <w:i w:val="0"/>
          <w:sz w:val="22"/>
        </w:rPr>
        <w:t>MNIST đạt độ chính xác rất cao (99.45%) do bài toán tương đối đơn giản. Trên CIFAR-10, SimpleCNN đạt 76.02% — phù hợp với benchmark không dùng kỹ thuật tiên tiến. ResNet18 (82.00%) và MobileNetV2 (84.42%) vượt trội nhờ kiến trúc sâu hơn, cung cấp nền tảng đa dạng cho Thực nghiệm 3.</w:t>
      </w:r>
    </w:p>
    <w:p>
      <w:pPr>
        <w:spacing w:before="120" w:after="40"/>
        <w:jc w:val="center"/>
      </w:pPr>
      <w:r>
        <w:drawing>
          <wp:inline xmlns:a="http://schemas.openxmlformats.org/drawingml/2006/main" xmlns:pic="http://schemas.openxmlformats.org/drawingml/2006/picture">
            <wp:extent cx="5040000" cy="1675291"/>
            <wp:docPr id="3" name="Picture 3"/>
            <wp:cNvGraphicFramePr>
              <a:graphicFrameLocks noChangeAspect="1"/>
            </wp:cNvGraphicFramePr>
            <a:graphic>
              <a:graphicData uri="http://schemas.openxmlformats.org/drawingml/2006/picture">
                <pic:pic>
                  <pic:nvPicPr>
                    <pic:cNvPr id="0" name="training_history_mnist.png"/>
                    <pic:cNvPicPr/>
                  </pic:nvPicPr>
                  <pic:blipFill>
                    <a:blip r:embed="rId11"/>
                    <a:stretch>
                      <a:fillRect/>
                    </a:stretch>
                  </pic:blipFill>
                  <pic:spPr>
                    <a:xfrm>
                      <a:off x="0" y="0"/>
                      <a:ext cx="5040000" cy="1675291"/>
                    </a:xfrm>
                    <a:prstGeom prst="rect"/>
                  </pic:spPr>
                </pic:pic>
              </a:graphicData>
            </a:graphic>
          </wp:inline>
        </w:drawing>
      </w:r>
    </w:p>
    <w:p>
      <w:pPr>
        <w:spacing w:after="240"/>
        <w:jc w:val="center"/>
      </w:pPr>
      <w:r>
        <w:rPr>
          <w:i/>
          <w:color w:val="555555"/>
          <w:sz w:val="20"/>
        </w:rPr>
        <w:t>Hình 3. Lịch sử huấn luyện MNIST — SimpleCNN, loss và accuracy qua 20 epoch</w:t>
      </w:r>
    </w:p>
    <w:p>
      <w:pPr>
        <w:spacing w:before="120" w:after="40"/>
        <w:jc w:val="center"/>
      </w:pPr>
      <w:r>
        <w:drawing>
          <wp:inline xmlns:a="http://schemas.openxmlformats.org/drawingml/2006/main" xmlns:pic="http://schemas.openxmlformats.org/drawingml/2006/picture">
            <wp:extent cx="5040000" cy="1675291"/>
            <wp:docPr id="4" name="Picture 4"/>
            <wp:cNvGraphicFramePr>
              <a:graphicFrameLocks noChangeAspect="1"/>
            </wp:cNvGraphicFramePr>
            <a:graphic>
              <a:graphicData uri="http://schemas.openxmlformats.org/drawingml/2006/picture">
                <pic:pic>
                  <pic:nvPicPr>
                    <pic:cNvPr id="0" name="training_history_cifar10.png"/>
                    <pic:cNvPicPr/>
                  </pic:nvPicPr>
                  <pic:blipFill>
                    <a:blip r:embed="rId12"/>
                    <a:stretch>
                      <a:fillRect/>
                    </a:stretch>
                  </pic:blipFill>
                  <pic:spPr>
                    <a:xfrm>
                      <a:off x="0" y="0"/>
                      <a:ext cx="5040000" cy="1675291"/>
                    </a:xfrm>
                    <a:prstGeom prst="rect"/>
                  </pic:spPr>
                </pic:pic>
              </a:graphicData>
            </a:graphic>
          </wp:inline>
        </w:drawing>
      </w:r>
    </w:p>
    <w:p>
      <w:pPr>
        <w:spacing w:after="240"/>
        <w:jc w:val="center"/>
      </w:pPr>
      <w:r>
        <w:rPr>
          <w:i/>
          <w:color w:val="555555"/>
          <w:sz w:val="20"/>
        </w:rPr>
        <w:t>Hình 4. Lịch sử huấn luyện CIFAR-10 — SimpleCNN, loss và accuracy qua 20 epoch</w:t>
      </w:r>
    </w:p>
    <w:p>
      <w:pPr>
        <w:spacing w:before="120" w:after="40"/>
        <w:jc w:val="center"/>
      </w:pPr>
      <w:r>
        <w:drawing>
          <wp:inline xmlns:a="http://schemas.openxmlformats.org/drawingml/2006/main" xmlns:pic="http://schemas.openxmlformats.org/drawingml/2006/picture">
            <wp:extent cx="5040000" cy="1675291"/>
            <wp:docPr id="5" name="Picture 5"/>
            <wp:cNvGraphicFramePr>
              <a:graphicFrameLocks noChangeAspect="1"/>
            </wp:cNvGraphicFramePr>
            <a:graphic>
              <a:graphicData uri="http://schemas.openxmlformats.org/drawingml/2006/picture">
                <pic:pic>
                  <pic:nvPicPr>
                    <pic:cNvPr id="0" name="training_history_cifar10_resnet18.png"/>
                    <pic:cNvPicPr/>
                  </pic:nvPicPr>
                  <pic:blipFill>
                    <a:blip r:embed="rId13"/>
                    <a:stretch>
                      <a:fillRect/>
                    </a:stretch>
                  </pic:blipFill>
                  <pic:spPr>
                    <a:xfrm>
                      <a:off x="0" y="0"/>
                      <a:ext cx="5040000" cy="1675291"/>
                    </a:xfrm>
                    <a:prstGeom prst="rect"/>
                  </pic:spPr>
                </pic:pic>
              </a:graphicData>
            </a:graphic>
          </wp:inline>
        </w:drawing>
      </w:r>
    </w:p>
    <w:p>
      <w:pPr>
        <w:spacing w:after="240"/>
        <w:jc w:val="center"/>
      </w:pPr>
      <w:r>
        <w:rPr>
          <w:i/>
          <w:color w:val="555555"/>
          <w:sz w:val="20"/>
        </w:rPr>
        <w:t>Hình 5. Lịch sử huấn luyện CIFAR-10 — ResNet18, loss và accuracy qua 20 epoch</w:t>
      </w:r>
    </w:p>
    <w:p>
      <w:pPr>
        <w:spacing w:before="120" w:after="40"/>
        <w:jc w:val="center"/>
      </w:pPr>
      <w:r>
        <w:drawing>
          <wp:inline xmlns:a="http://schemas.openxmlformats.org/drawingml/2006/main" xmlns:pic="http://schemas.openxmlformats.org/drawingml/2006/picture">
            <wp:extent cx="5040000" cy="1675291"/>
            <wp:docPr id="6" name="Picture 6"/>
            <wp:cNvGraphicFramePr>
              <a:graphicFrameLocks noChangeAspect="1"/>
            </wp:cNvGraphicFramePr>
            <a:graphic>
              <a:graphicData uri="http://schemas.openxmlformats.org/drawingml/2006/picture">
                <pic:pic>
                  <pic:nvPicPr>
                    <pic:cNvPr id="0" name="training_history_cifar10_mobilenetv2.png"/>
                    <pic:cNvPicPr/>
                  </pic:nvPicPr>
                  <pic:blipFill>
                    <a:blip r:embed="rId14"/>
                    <a:stretch>
                      <a:fillRect/>
                    </a:stretch>
                  </pic:blipFill>
                  <pic:spPr>
                    <a:xfrm>
                      <a:off x="0" y="0"/>
                      <a:ext cx="5040000" cy="1675291"/>
                    </a:xfrm>
                    <a:prstGeom prst="rect"/>
                  </pic:spPr>
                </pic:pic>
              </a:graphicData>
            </a:graphic>
          </wp:inline>
        </w:drawing>
      </w:r>
    </w:p>
    <w:p>
      <w:pPr>
        <w:spacing w:after="240"/>
        <w:jc w:val="center"/>
      </w:pPr>
      <w:r>
        <w:rPr>
          <w:i/>
          <w:color w:val="555555"/>
          <w:sz w:val="20"/>
        </w:rPr>
        <w:t>Hình 6. Lịch sử huấn luyện CIFAR-10 — MobileNetV2, loss và accuracy qua 20 epoch</w:t>
      </w:r>
    </w:p>
    <w:p>
      <w:pPr>
        <w:pStyle w:val="Heading1"/>
        <w:jc w:val="left"/>
      </w:pPr>
      <w:r>
        <w:rPr>
          <w:color w:val="1F3864"/>
        </w:rPr>
        <w:t>5. Thực nghiệm 1 — Ảnh hưởng của ε đến hiệu quả FGSM</w:t>
      </w:r>
    </w:p>
    <w:p>
      <w:pPr>
        <w:spacing w:after="120"/>
        <w:jc w:val="both"/>
      </w:pPr>
      <w:r>
        <w:rPr>
          <w:b w:val="0"/>
          <w:i w:val="0"/>
          <w:sz w:val="22"/>
        </w:rPr>
        <w:t>Thực nghiệm 1 thay đổi biên độ nhiễu ε qua các giá trị [0.05, 0.10, 0.15, 0.20, 0.25, 0.30] và đo hiệu quả FGSM trên 1,280 mẫu test, đánh giá theo quy trình 2 pha.</w:t>
      </w:r>
    </w:p>
    <w:p>
      <w:pPr>
        <w:pStyle w:val="Heading2"/>
        <w:jc w:val="left"/>
      </w:pPr>
      <w:r>
        <w:rPr>
          <w:color w:val="1F3864"/>
        </w:rPr>
        <w:t>5.1. Kết quả trên MNIST</w:t>
      </w:r>
    </w:p>
    <w:p>
      <w:pPr>
        <w:spacing w:after="120"/>
        <w:jc w:val="both"/>
      </w:pPr>
      <w:r>
        <w:rPr>
          <w:b/>
          <w:i w:val="0"/>
          <w:color w:val="555555"/>
          <w:sz w:val="20"/>
        </w:rPr>
        <w:t>Tập test: 1,280 mẫu  |  Mẫu phân loại đúng: 1,273  |  Clean accuracy: 99.45%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vAlign w:val="center"/>
            <w:shd w:val="clear" w:color="auto" w:fill="1F3864"/>
          </w:tcPr>
          <w:p>
            <w:pPr>
              <w:jc w:val="center"/>
            </w:pPr>
            <w:r>
              <w:rPr>
                <w:b/>
                <w:color w:val="FFFFFF"/>
                <w:sz w:val="20"/>
              </w:rPr>
              <w:t>ε</w:t>
            </w:r>
          </w:p>
        </w:tc>
        <w:tc>
          <w:tcPr>
            <w:tcW w:type="dxa" w:w="2154"/>
            <w:vAlign w:val="center"/>
            <w:shd w:val="clear" w:color="auto" w:fill="1F3864"/>
          </w:tcPr>
          <w:p>
            <w:pPr>
              <w:jc w:val="center"/>
            </w:pPr>
            <w:r>
              <w:rPr>
                <w:b/>
                <w:color w:val="FFFFFF"/>
                <w:sz w:val="20"/>
              </w:rPr>
              <w:t>Robust Acc (%)</w:t>
            </w:r>
          </w:p>
        </w:tc>
        <w:tc>
          <w:tcPr>
            <w:tcW w:type="dxa" w:w="2154"/>
            <w:vAlign w:val="center"/>
            <w:shd w:val="clear" w:color="auto" w:fill="1F3864"/>
          </w:tcPr>
          <w:p>
            <w:pPr>
              <w:jc w:val="center"/>
            </w:pPr>
            <w:r>
              <w:rPr>
                <w:b/>
                <w:color w:val="FFFFFF"/>
                <w:sz w:val="20"/>
              </w:rPr>
              <w:t>Acc Drop (pp)</w:t>
            </w:r>
          </w:p>
        </w:tc>
        <w:tc>
          <w:tcPr>
            <w:tcW w:type="dxa" w:w="2154"/>
            <w:vAlign w:val="center"/>
            <w:shd w:val="clear" w:color="auto" w:fill="1F3864"/>
          </w:tcPr>
          <w:p>
            <w:pPr>
              <w:jc w:val="center"/>
            </w:pPr>
            <w:r>
              <w:rPr>
                <w:b/>
                <w:color w:val="FFFFFF"/>
                <w:sz w:val="20"/>
              </w:rPr>
              <w:t>ASR (%)</w:t>
            </w:r>
          </w:p>
        </w:tc>
        <w:tc>
          <w:tcPr>
            <w:tcW w:type="dxa" w:w="2041"/>
            <w:vAlign w:val="center"/>
            <w:shd w:val="clear" w:color="auto" w:fill="1F3864"/>
          </w:tcPr>
          <w:p>
            <w:pPr>
              <w:jc w:val="center"/>
            </w:pPr>
            <w:r>
              <w:rPr>
                <w:b/>
                <w:color w:val="FFFFFF"/>
                <w:sz w:val="20"/>
              </w:rPr>
              <w:t>Thời gian (s)</w:t>
            </w:r>
          </w:p>
        </w:tc>
      </w:tr>
      <w:tr>
        <w:tc>
          <w:tcPr>
            <w:tcW w:type="dxa" w:w="1134"/>
            <w:vAlign w:val="center"/>
            <w:shd w:val="clear" w:color="auto" w:fill="F2F2F2"/>
          </w:tcPr>
          <w:p>
            <w:pPr>
              <w:jc w:val="center"/>
            </w:pPr>
            <w:r>
              <w:rPr>
                <w:sz w:val="20"/>
              </w:rPr>
              <w:t>0.05</w:t>
            </w:r>
          </w:p>
        </w:tc>
        <w:tc>
          <w:tcPr>
            <w:tcW w:type="dxa" w:w="2154"/>
            <w:vAlign w:val="center"/>
            <w:shd w:val="clear" w:color="auto" w:fill="F2F2F2"/>
          </w:tcPr>
          <w:p>
            <w:pPr>
              <w:jc w:val="center"/>
            </w:pPr>
            <w:r>
              <w:rPr>
                <w:sz w:val="20"/>
              </w:rPr>
              <w:t>94.53</w:t>
            </w:r>
          </w:p>
        </w:tc>
        <w:tc>
          <w:tcPr>
            <w:tcW w:type="dxa" w:w="2154"/>
            <w:vAlign w:val="center"/>
            <w:shd w:val="clear" w:color="auto" w:fill="F2F2F2"/>
          </w:tcPr>
          <w:p>
            <w:pPr>
              <w:jc w:val="center"/>
            </w:pPr>
            <w:r>
              <w:rPr>
                <w:sz w:val="20"/>
              </w:rPr>
              <w:t>−4.92</w:t>
            </w:r>
          </w:p>
        </w:tc>
        <w:tc>
          <w:tcPr>
            <w:tcW w:type="dxa" w:w="2154"/>
            <w:vAlign w:val="center"/>
            <w:shd w:val="clear" w:color="auto" w:fill="F2F2F2"/>
          </w:tcPr>
          <w:p>
            <w:pPr>
              <w:jc w:val="center"/>
            </w:pPr>
            <w:r>
              <w:rPr>
                <w:sz w:val="20"/>
              </w:rPr>
              <w:t>4.95</w:t>
            </w:r>
          </w:p>
        </w:tc>
        <w:tc>
          <w:tcPr>
            <w:tcW w:type="dxa" w:w="2041"/>
            <w:vAlign w:val="center"/>
            <w:shd w:val="clear" w:color="auto" w:fill="F2F2F2"/>
          </w:tcPr>
          <w:p>
            <w:pPr>
              <w:jc w:val="center"/>
            </w:pPr>
            <w:r>
              <w:rPr>
                <w:sz w:val="20"/>
              </w:rPr>
              <w:t>3.2</w:t>
            </w:r>
          </w:p>
        </w:tc>
      </w:tr>
      <w:tr>
        <w:tc>
          <w:tcPr>
            <w:tcW w:type="dxa" w:w="1134"/>
            <w:vAlign w:val="center"/>
            <w:shd w:val="clear" w:color="auto" w:fill="FFFFFF"/>
          </w:tcPr>
          <w:p>
            <w:pPr>
              <w:jc w:val="center"/>
            </w:pPr>
            <w:r>
              <w:rPr>
                <w:sz w:val="20"/>
              </w:rPr>
              <w:t>0.10</w:t>
            </w:r>
          </w:p>
        </w:tc>
        <w:tc>
          <w:tcPr>
            <w:tcW w:type="dxa" w:w="2154"/>
            <w:vAlign w:val="center"/>
            <w:shd w:val="clear" w:color="auto" w:fill="FFFFFF"/>
          </w:tcPr>
          <w:p>
            <w:pPr>
              <w:jc w:val="center"/>
            </w:pPr>
            <w:r>
              <w:rPr>
                <w:sz w:val="20"/>
              </w:rPr>
              <w:t>70.63</w:t>
            </w:r>
          </w:p>
        </w:tc>
        <w:tc>
          <w:tcPr>
            <w:tcW w:type="dxa" w:w="2154"/>
            <w:vAlign w:val="center"/>
            <w:shd w:val="clear" w:color="auto" w:fill="FFFFFF"/>
          </w:tcPr>
          <w:p>
            <w:pPr>
              <w:jc w:val="center"/>
            </w:pPr>
            <w:r>
              <w:rPr>
                <w:sz w:val="20"/>
              </w:rPr>
              <w:t>−28.83</w:t>
            </w:r>
          </w:p>
        </w:tc>
        <w:tc>
          <w:tcPr>
            <w:tcW w:type="dxa" w:w="2154"/>
            <w:vAlign w:val="center"/>
            <w:shd w:val="clear" w:color="auto" w:fill="FFFFFF"/>
          </w:tcPr>
          <w:p>
            <w:pPr>
              <w:jc w:val="center"/>
            </w:pPr>
            <w:r>
              <w:rPr>
                <w:sz w:val="20"/>
              </w:rPr>
              <w:t>28.99</w:t>
            </w:r>
          </w:p>
        </w:tc>
        <w:tc>
          <w:tcPr>
            <w:tcW w:type="dxa" w:w="2041"/>
            <w:vAlign w:val="center"/>
            <w:shd w:val="clear" w:color="auto" w:fill="FFFFFF"/>
          </w:tcPr>
          <w:p>
            <w:pPr>
              <w:jc w:val="center"/>
            </w:pPr>
            <w:r>
              <w:rPr>
                <w:sz w:val="20"/>
              </w:rPr>
              <w:t>2.9</w:t>
            </w:r>
          </w:p>
        </w:tc>
      </w:tr>
      <w:tr>
        <w:tc>
          <w:tcPr>
            <w:tcW w:type="dxa" w:w="1134"/>
            <w:vAlign w:val="center"/>
            <w:shd w:val="clear" w:color="auto" w:fill="F2F2F2"/>
          </w:tcPr>
          <w:p>
            <w:pPr>
              <w:jc w:val="center"/>
            </w:pPr>
            <w:r>
              <w:rPr>
                <w:sz w:val="20"/>
              </w:rPr>
              <w:t>0.15</w:t>
            </w:r>
          </w:p>
        </w:tc>
        <w:tc>
          <w:tcPr>
            <w:tcW w:type="dxa" w:w="2154"/>
            <w:vAlign w:val="center"/>
            <w:shd w:val="clear" w:color="auto" w:fill="F2F2F2"/>
          </w:tcPr>
          <w:p>
            <w:pPr>
              <w:jc w:val="center"/>
            </w:pPr>
            <w:r>
              <w:rPr>
                <w:sz w:val="20"/>
              </w:rPr>
              <w:t>42.73</w:t>
            </w:r>
          </w:p>
        </w:tc>
        <w:tc>
          <w:tcPr>
            <w:tcW w:type="dxa" w:w="2154"/>
            <w:vAlign w:val="center"/>
            <w:shd w:val="clear" w:color="auto" w:fill="F2F2F2"/>
          </w:tcPr>
          <w:p>
            <w:pPr>
              <w:jc w:val="center"/>
            </w:pPr>
            <w:r>
              <w:rPr>
                <w:sz w:val="20"/>
              </w:rPr>
              <w:t>−56.72</w:t>
            </w:r>
          </w:p>
        </w:tc>
        <w:tc>
          <w:tcPr>
            <w:tcW w:type="dxa" w:w="2154"/>
            <w:vAlign w:val="center"/>
            <w:shd w:val="clear" w:color="auto" w:fill="F2F2F2"/>
          </w:tcPr>
          <w:p>
            <w:pPr>
              <w:jc w:val="center"/>
            </w:pPr>
            <w:r>
              <w:rPr>
                <w:sz w:val="20"/>
              </w:rPr>
              <w:t>57.03</w:t>
            </w:r>
          </w:p>
        </w:tc>
        <w:tc>
          <w:tcPr>
            <w:tcW w:type="dxa" w:w="2041"/>
            <w:vAlign w:val="center"/>
            <w:shd w:val="clear" w:color="auto" w:fill="F2F2F2"/>
          </w:tcPr>
          <w:p>
            <w:pPr>
              <w:jc w:val="center"/>
            </w:pPr>
            <w:r>
              <w:rPr>
                <w:sz w:val="20"/>
              </w:rPr>
              <w:t>3.1</w:t>
            </w:r>
          </w:p>
        </w:tc>
      </w:tr>
      <w:tr>
        <w:tc>
          <w:tcPr>
            <w:tcW w:type="dxa" w:w="1134"/>
            <w:vAlign w:val="center"/>
            <w:shd w:val="clear" w:color="auto" w:fill="FFFFFF"/>
          </w:tcPr>
          <w:p>
            <w:pPr>
              <w:jc w:val="center"/>
            </w:pPr>
            <w:r>
              <w:rPr>
                <w:sz w:val="20"/>
              </w:rPr>
              <w:t>0.20</w:t>
            </w:r>
          </w:p>
        </w:tc>
        <w:tc>
          <w:tcPr>
            <w:tcW w:type="dxa" w:w="2154"/>
            <w:vAlign w:val="center"/>
            <w:shd w:val="clear" w:color="auto" w:fill="FFFFFF"/>
          </w:tcPr>
          <w:p>
            <w:pPr>
              <w:jc w:val="center"/>
            </w:pPr>
            <w:r>
              <w:rPr>
                <w:sz w:val="20"/>
              </w:rPr>
              <w:t>25.16</w:t>
            </w:r>
          </w:p>
        </w:tc>
        <w:tc>
          <w:tcPr>
            <w:tcW w:type="dxa" w:w="2154"/>
            <w:vAlign w:val="center"/>
            <w:shd w:val="clear" w:color="auto" w:fill="FFFFFF"/>
          </w:tcPr>
          <w:p>
            <w:pPr>
              <w:jc w:val="center"/>
            </w:pPr>
            <w:r>
              <w:rPr>
                <w:sz w:val="20"/>
              </w:rPr>
              <w:t>−74.30</w:t>
            </w:r>
          </w:p>
        </w:tc>
        <w:tc>
          <w:tcPr>
            <w:tcW w:type="dxa" w:w="2154"/>
            <w:vAlign w:val="center"/>
            <w:shd w:val="clear" w:color="auto" w:fill="FFFFFF"/>
          </w:tcPr>
          <w:p>
            <w:pPr>
              <w:jc w:val="center"/>
            </w:pPr>
            <w:r>
              <w:rPr>
                <w:sz w:val="20"/>
              </w:rPr>
              <w:t>74.71</w:t>
            </w:r>
          </w:p>
        </w:tc>
        <w:tc>
          <w:tcPr>
            <w:tcW w:type="dxa" w:w="2041"/>
            <w:vAlign w:val="center"/>
            <w:shd w:val="clear" w:color="auto" w:fill="FFFFFF"/>
          </w:tcPr>
          <w:p>
            <w:pPr>
              <w:jc w:val="center"/>
            </w:pPr>
            <w:r>
              <w:rPr>
                <w:sz w:val="20"/>
              </w:rPr>
              <w:t>2.9</w:t>
            </w:r>
          </w:p>
        </w:tc>
      </w:tr>
      <w:tr>
        <w:tc>
          <w:tcPr>
            <w:tcW w:type="dxa" w:w="1134"/>
            <w:vAlign w:val="center"/>
            <w:shd w:val="clear" w:color="auto" w:fill="F2F2F2"/>
          </w:tcPr>
          <w:p>
            <w:pPr>
              <w:jc w:val="center"/>
            </w:pPr>
            <w:r>
              <w:rPr>
                <w:sz w:val="20"/>
              </w:rPr>
              <w:t>0.25</w:t>
            </w:r>
          </w:p>
        </w:tc>
        <w:tc>
          <w:tcPr>
            <w:tcW w:type="dxa" w:w="2154"/>
            <w:vAlign w:val="center"/>
            <w:shd w:val="clear" w:color="auto" w:fill="F2F2F2"/>
          </w:tcPr>
          <w:p>
            <w:pPr>
              <w:jc w:val="center"/>
            </w:pPr>
            <w:r>
              <w:rPr>
                <w:sz w:val="20"/>
              </w:rPr>
              <w:t>15.94</w:t>
            </w:r>
          </w:p>
        </w:tc>
        <w:tc>
          <w:tcPr>
            <w:tcW w:type="dxa" w:w="2154"/>
            <w:vAlign w:val="center"/>
            <w:shd w:val="clear" w:color="auto" w:fill="F2F2F2"/>
          </w:tcPr>
          <w:p>
            <w:pPr>
              <w:jc w:val="center"/>
            </w:pPr>
            <w:r>
              <w:rPr>
                <w:sz w:val="20"/>
              </w:rPr>
              <w:t>−83.52</w:t>
            </w:r>
          </w:p>
        </w:tc>
        <w:tc>
          <w:tcPr>
            <w:tcW w:type="dxa" w:w="2154"/>
            <w:vAlign w:val="center"/>
            <w:shd w:val="clear" w:color="auto" w:fill="F2F2F2"/>
          </w:tcPr>
          <w:p>
            <w:pPr>
              <w:jc w:val="center"/>
            </w:pPr>
            <w:r>
              <w:rPr>
                <w:sz w:val="20"/>
              </w:rPr>
              <w:t>83.97</w:t>
            </w:r>
          </w:p>
        </w:tc>
        <w:tc>
          <w:tcPr>
            <w:tcW w:type="dxa" w:w="2041"/>
            <w:vAlign w:val="center"/>
            <w:shd w:val="clear" w:color="auto" w:fill="F2F2F2"/>
          </w:tcPr>
          <w:p>
            <w:pPr>
              <w:jc w:val="center"/>
            </w:pPr>
            <w:r>
              <w:rPr>
                <w:sz w:val="20"/>
              </w:rPr>
              <w:t>2.9</w:t>
            </w:r>
          </w:p>
        </w:tc>
      </w:tr>
      <w:tr>
        <w:tc>
          <w:tcPr>
            <w:tcW w:type="dxa" w:w="1134"/>
            <w:vAlign w:val="center"/>
            <w:shd w:val="clear" w:color="auto" w:fill="FFFFFF"/>
          </w:tcPr>
          <w:p>
            <w:pPr>
              <w:jc w:val="center"/>
            </w:pPr>
            <w:r>
              <w:rPr>
                <w:sz w:val="20"/>
              </w:rPr>
              <w:t>0.30</w:t>
            </w:r>
          </w:p>
        </w:tc>
        <w:tc>
          <w:tcPr>
            <w:tcW w:type="dxa" w:w="2154"/>
            <w:vAlign w:val="center"/>
            <w:shd w:val="clear" w:color="auto" w:fill="FFFFFF"/>
          </w:tcPr>
          <w:p>
            <w:pPr>
              <w:jc w:val="center"/>
            </w:pPr>
            <w:r>
              <w:rPr>
                <w:sz w:val="20"/>
              </w:rPr>
              <w:t>11.17</w:t>
            </w:r>
          </w:p>
        </w:tc>
        <w:tc>
          <w:tcPr>
            <w:tcW w:type="dxa" w:w="2154"/>
            <w:vAlign w:val="center"/>
            <w:shd w:val="clear" w:color="auto" w:fill="FFFFFF"/>
          </w:tcPr>
          <w:p>
            <w:pPr>
              <w:jc w:val="center"/>
            </w:pPr>
            <w:r>
              <w:rPr>
                <w:sz w:val="20"/>
              </w:rPr>
              <w:t>−88.28</w:t>
            </w:r>
          </w:p>
        </w:tc>
        <w:tc>
          <w:tcPr>
            <w:tcW w:type="dxa" w:w="2154"/>
            <w:vAlign w:val="center"/>
            <w:shd w:val="clear" w:color="auto" w:fill="FFFFFF"/>
          </w:tcPr>
          <w:p>
            <w:pPr>
              <w:jc w:val="center"/>
            </w:pPr>
            <w:r>
              <w:rPr>
                <w:sz w:val="20"/>
              </w:rPr>
              <w:t>88.77</w:t>
            </w:r>
          </w:p>
        </w:tc>
        <w:tc>
          <w:tcPr>
            <w:tcW w:type="dxa" w:w="2041"/>
            <w:vAlign w:val="center"/>
            <w:shd w:val="clear" w:color="auto" w:fill="FFFFFF"/>
          </w:tcPr>
          <w:p>
            <w:pPr>
              <w:jc w:val="center"/>
            </w:pPr>
            <w:r>
              <w:rPr>
                <w:sz w:val="20"/>
              </w:rPr>
              <w:t>2.9</w:t>
            </w:r>
          </w:p>
        </w:tc>
      </w:tr>
    </w:tbl>
    <w:p/>
    <w:p>
      <w:pPr>
        <w:spacing w:after="120"/>
        <w:jc w:val="both"/>
      </w:pPr>
      <w:r>
        <w:rPr>
          <w:b w:val="0"/>
          <w:i w:val="0"/>
          <w:sz w:val="22"/>
        </w:rPr>
        <w:t>Nhận xét:</w:t>
      </w:r>
    </w:p>
    <w:p>
      <w:pPr>
        <w:pStyle w:val="ListBullet"/>
        <w:spacing w:after="60"/>
      </w:pPr>
      <w:r>
        <w:rPr>
          <w:sz w:val="22"/>
        </w:rPr>
        <w:t>Ở ε=0.05, FGSM chỉ đạt ASR 4.95% — nhiễu quá nhỏ để vượt qua ranh giới quyết định của mô hình vốn đã rất tự tin (clean acc 99.45%).</w:t>
      </w:r>
    </w:p>
    <w:p>
      <w:pPr>
        <w:pStyle w:val="ListBullet"/>
        <w:spacing w:after="60"/>
      </w:pPr>
      <w:r>
        <w:rPr>
          <w:sz w:val="22"/>
        </w:rPr>
        <w:t>Từ ε=0.10 trở đi, ASR tăng nhanh: 28.99% (ε=0.10) → 74.71% (ε=0.20) → 88.77% (ε=0.30).</w:t>
      </w:r>
    </w:p>
    <w:p>
      <w:pPr>
        <w:pStyle w:val="ListBullet"/>
        <w:spacing w:after="60"/>
      </w:pPr>
      <w:r>
        <w:rPr>
          <w:sz w:val="22"/>
        </w:rPr>
        <w:t>FGSM tiệm cận trần năng lực ~88–89% ASR tại ε=0.30 — đây là giới hạn của tấn công 1 bước. Dù tăng thêm ε, một số mẫu vẫn không bị đánh lừa do bước nhảy đơn không tìm đúng hướng.</w:t>
      </w:r>
    </w:p>
    <w:p>
      <w:pPr>
        <w:pStyle w:val="ListBullet"/>
        <w:spacing w:after="60"/>
      </w:pPr>
      <w:r>
        <w:rPr>
          <w:sz w:val="22"/>
        </w:rPr>
        <w:t>Thời gian tấn công rất nhanh (~3s cho toàn bộ 1,273 mẫu) do chỉ cần 1 lần backward pass.</w:t>
      </w:r>
    </w:p>
    <w:p>
      <w:pPr>
        <w:spacing w:before="120" w:after="40"/>
        <w:jc w:val="center"/>
      </w:pPr>
      <w:r>
        <w:drawing>
          <wp:inline xmlns:a="http://schemas.openxmlformats.org/drawingml/2006/main" xmlns:pic="http://schemas.openxmlformats.org/drawingml/2006/picture">
            <wp:extent cx="5040000" cy="3112690"/>
            <wp:docPr id="7" name="Picture 7"/>
            <wp:cNvGraphicFramePr>
              <a:graphicFrameLocks noChangeAspect="1"/>
            </wp:cNvGraphicFramePr>
            <a:graphic>
              <a:graphicData uri="http://schemas.openxmlformats.org/drawingml/2006/picture">
                <pic:pic>
                  <pic:nvPicPr>
                    <pic:cNvPr id="0" name="exp1_acc_vs_epsilon_mnist.png"/>
                    <pic:cNvPicPr/>
                  </pic:nvPicPr>
                  <pic:blipFill>
                    <a:blip r:embed="rId15"/>
                    <a:stretch>
                      <a:fillRect/>
                    </a:stretch>
                  </pic:blipFill>
                  <pic:spPr>
                    <a:xfrm>
                      <a:off x="0" y="0"/>
                      <a:ext cx="5040000" cy="3112690"/>
                    </a:xfrm>
                    <a:prstGeom prst="rect"/>
                  </pic:spPr>
                </pic:pic>
              </a:graphicData>
            </a:graphic>
          </wp:inline>
        </w:drawing>
      </w:r>
    </w:p>
    <w:p>
      <w:pPr>
        <w:spacing w:after="240"/>
        <w:jc w:val="center"/>
      </w:pPr>
      <w:r>
        <w:rPr>
          <w:i/>
          <w:color w:val="555555"/>
          <w:sz w:val="20"/>
        </w:rPr>
        <w:t>Hình 7. MNIST — Robust accuracy còn lại theo ε (đường FGSM)</w:t>
      </w:r>
    </w:p>
    <w:p>
      <w:pPr>
        <w:pStyle w:val="Heading2"/>
        <w:jc w:val="left"/>
      </w:pPr>
      <w:r>
        <w:rPr>
          <w:color w:val="1F3864"/>
        </w:rPr>
        <w:t>5.2. Kết quả trên CIFAR-10</w:t>
      </w:r>
    </w:p>
    <w:p>
      <w:pPr>
        <w:spacing w:after="120"/>
        <w:jc w:val="both"/>
      </w:pPr>
      <w:r>
        <w:rPr>
          <w:b/>
          <w:i w:val="0"/>
          <w:color w:val="555555"/>
          <w:sz w:val="20"/>
        </w:rPr>
        <w:t>Tập test: 1,280 mẫu  |  Mẫu phân loại đúng: 973  |  Clean accuracy: 76.02%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vAlign w:val="center"/>
            <w:shd w:val="clear" w:color="auto" w:fill="1F3864"/>
          </w:tcPr>
          <w:p>
            <w:pPr>
              <w:jc w:val="center"/>
            </w:pPr>
            <w:r>
              <w:rPr>
                <w:b/>
                <w:color w:val="FFFFFF"/>
                <w:sz w:val="20"/>
              </w:rPr>
              <w:t>ε</w:t>
            </w:r>
          </w:p>
        </w:tc>
        <w:tc>
          <w:tcPr>
            <w:tcW w:type="dxa" w:w="2154"/>
            <w:vAlign w:val="center"/>
            <w:shd w:val="clear" w:color="auto" w:fill="1F3864"/>
          </w:tcPr>
          <w:p>
            <w:pPr>
              <w:jc w:val="center"/>
            </w:pPr>
            <w:r>
              <w:rPr>
                <w:b/>
                <w:color w:val="FFFFFF"/>
                <w:sz w:val="20"/>
              </w:rPr>
              <w:t>Robust Acc (%)</w:t>
            </w:r>
          </w:p>
        </w:tc>
        <w:tc>
          <w:tcPr>
            <w:tcW w:type="dxa" w:w="2154"/>
            <w:vAlign w:val="center"/>
            <w:shd w:val="clear" w:color="auto" w:fill="1F3864"/>
          </w:tcPr>
          <w:p>
            <w:pPr>
              <w:jc w:val="center"/>
            </w:pPr>
            <w:r>
              <w:rPr>
                <w:b/>
                <w:color w:val="FFFFFF"/>
                <w:sz w:val="20"/>
              </w:rPr>
              <w:t>Acc Drop (pp)</w:t>
            </w:r>
          </w:p>
        </w:tc>
        <w:tc>
          <w:tcPr>
            <w:tcW w:type="dxa" w:w="2154"/>
            <w:vAlign w:val="center"/>
            <w:shd w:val="clear" w:color="auto" w:fill="1F3864"/>
          </w:tcPr>
          <w:p>
            <w:pPr>
              <w:jc w:val="center"/>
            </w:pPr>
            <w:r>
              <w:rPr>
                <w:b/>
                <w:color w:val="FFFFFF"/>
                <w:sz w:val="20"/>
              </w:rPr>
              <w:t>ASR (%)</w:t>
            </w:r>
          </w:p>
        </w:tc>
        <w:tc>
          <w:tcPr>
            <w:tcW w:type="dxa" w:w="2041"/>
            <w:vAlign w:val="center"/>
            <w:shd w:val="clear" w:color="auto" w:fill="1F3864"/>
          </w:tcPr>
          <w:p>
            <w:pPr>
              <w:jc w:val="center"/>
            </w:pPr>
            <w:r>
              <w:rPr>
                <w:b/>
                <w:color w:val="FFFFFF"/>
                <w:sz w:val="20"/>
              </w:rPr>
              <w:t>Thời gian (s)</w:t>
            </w:r>
          </w:p>
        </w:tc>
      </w:tr>
      <w:tr>
        <w:tc>
          <w:tcPr>
            <w:tcW w:type="dxa" w:w="1134"/>
            <w:vAlign w:val="center"/>
            <w:shd w:val="clear" w:color="auto" w:fill="F2F2F2"/>
          </w:tcPr>
          <w:p>
            <w:pPr>
              <w:jc w:val="center"/>
            </w:pPr>
            <w:r>
              <w:rPr>
                <w:sz w:val="20"/>
              </w:rPr>
              <w:t>0.05</w:t>
            </w:r>
          </w:p>
        </w:tc>
        <w:tc>
          <w:tcPr>
            <w:tcW w:type="dxa" w:w="2154"/>
            <w:vAlign w:val="center"/>
            <w:shd w:val="clear" w:color="auto" w:fill="F2F2F2"/>
          </w:tcPr>
          <w:p>
            <w:pPr>
              <w:jc w:val="center"/>
            </w:pPr>
            <w:r>
              <w:rPr>
                <w:sz w:val="20"/>
              </w:rPr>
              <w:t>21.02</w:t>
            </w:r>
          </w:p>
        </w:tc>
        <w:tc>
          <w:tcPr>
            <w:tcW w:type="dxa" w:w="2154"/>
            <w:vAlign w:val="center"/>
            <w:shd w:val="clear" w:color="auto" w:fill="F2F2F2"/>
          </w:tcPr>
          <w:p>
            <w:pPr>
              <w:jc w:val="center"/>
            </w:pPr>
            <w:r>
              <w:rPr>
                <w:sz w:val="20"/>
              </w:rPr>
              <w:t>−55.00</w:t>
            </w:r>
          </w:p>
        </w:tc>
        <w:tc>
          <w:tcPr>
            <w:tcW w:type="dxa" w:w="2154"/>
            <w:vAlign w:val="center"/>
            <w:shd w:val="clear" w:color="auto" w:fill="F2F2F2"/>
          </w:tcPr>
          <w:p>
            <w:pPr>
              <w:jc w:val="center"/>
            </w:pPr>
            <w:r>
              <w:rPr>
                <w:sz w:val="20"/>
              </w:rPr>
              <w:t>72.35</w:t>
            </w:r>
          </w:p>
        </w:tc>
        <w:tc>
          <w:tcPr>
            <w:tcW w:type="dxa" w:w="2041"/>
            <w:vAlign w:val="center"/>
            <w:shd w:val="clear" w:color="auto" w:fill="F2F2F2"/>
          </w:tcPr>
          <w:p>
            <w:pPr>
              <w:jc w:val="center"/>
            </w:pPr>
            <w:r>
              <w:rPr>
                <w:sz w:val="20"/>
              </w:rPr>
              <w:t>2.5</w:t>
            </w:r>
          </w:p>
        </w:tc>
      </w:tr>
      <w:tr>
        <w:tc>
          <w:tcPr>
            <w:tcW w:type="dxa" w:w="1134"/>
            <w:vAlign w:val="center"/>
            <w:shd w:val="clear" w:color="auto" w:fill="FFFFFF"/>
          </w:tcPr>
          <w:p>
            <w:pPr>
              <w:jc w:val="center"/>
            </w:pPr>
            <w:r>
              <w:rPr>
                <w:sz w:val="20"/>
              </w:rPr>
              <w:t>0.10</w:t>
            </w:r>
          </w:p>
        </w:tc>
        <w:tc>
          <w:tcPr>
            <w:tcW w:type="dxa" w:w="2154"/>
            <w:vAlign w:val="center"/>
            <w:shd w:val="clear" w:color="auto" w:fill="FFFFFF"/>
          </w:tcPr>
          <w:p>
            <w:pPr>
              <w:jc w:val="center"/>
            </w:pPr>
            <w:r>
              <w:rPr>
                <w:sz w:val="20"/>
              </w:rPr>
              <w:t>15.08</w:t>
            </w:r>
          </w:p>
        </w:tc>
        <w:tc>
          <w:tcPr>
            <w:tcW w:type="dxa" w:w="2154"/>
            <w:vAlign w:val="center"/>
            <w:shd w:val="clear" w:color="auto" w:fill="FFFFFF"/>
          </w:tcPr>
          <w:p>
            <w:pPr>
              <w:jc w:val="center"/>
            </w:pPr>
            <w:r>
              <w:rPr>
                <w:sz w:val="20"/>
              </w:rPr>
              <w:t>−60.94</w:t>
            </w:r>
          </w:p>
        </w:tc>
        <w:tc>
          <w:tcPr>
            <w:tcW w:type="dxa" w:w="2154"/>
            <w:vAlign w:val="center"/>
            <w:shd w:val="clear" w:color="auto" w:fill="FFFFFF"/>
          </w:tcPr>
          <w:p>
            <w:pPr>
              <w:jc w:val="center"/>
            </w:pPr>
            <w:r>
              <w:rPr>
                <w:sz w:val="20"/>
              </w:rPr>
              <w:t>80.16</w:t>
            </w:r>
          </w:p>
        </w:tc>
        <w:tc>
          <w:tcPr>
            <w:tcW w:type="dxa" w:w="2041"/>
            <w:vAlign w:val="center"/>
            <w:shd w:val="clear" w:color="auto" w:fill="FFFFFF"/>
          </w:tcPr>
          <w:p>
            <w:pPr>
              <w:jc w:val="center"/>
            </w:pPr>
            <w:r>
              <w:rPr>
                <w:sz w:val="20"/>
              </w:rPr>
              <w:t>2.3</w:t>
            </w:r>
          </w:p>
        </w:tc>
      </w:tr>
      <w:tr>
        <w:tc>
          <w:tcPr>
            <w:tcW w:type="dxa" w:w="1134"/>
            <w:vAlign w:val="center"/>
            <w:shd w:val="clear" w:color="auto" w:fill="F2F2F2"/>
          </w:tcPr>
          <w:p>
            <w:pPr>
              <w:jc w:val="center"/>
            </w:pPr>
            <w:r>
              <w:rPr>
                <w:sz w:val="20"/>
              </w:rPr>
              <w:t>0.15</w:t>
            </w:r>
          </w:p>
        </w:tc>
        <w:tc>
          <w:tcPr>
            <w:tcW w:type="dxa" w:w="2154"/>
            <w:vAlign w:val="center"/>
            <w:shd w:val="clear" w:color="auto" w:fill="F2F2F2"/>
          </w:tcPr>
          <w:p>
            <w:pPr>
              <w:jc w:val="center"/>
            </w:pPr>
            <w:r>
              <w:rPr>
                <w:sz w:val="20"/>
              </w:rPr>
              <w:t>12.66</w:t>
            </w:r>
          </w:p>
        </w:tc>
        <w:tc>
          <w:tcPr>
            <w:tcW w:type="dxa" w:w="2154"/>
            <w:vAlign w:val="center"/>
            <w:shd w:val="clear" w:color="auto" w:fill="F2F2F2"/>
          </w:tcPr>
          <w:p>
            <w:pPr>
              <w:jc w:val="center"/>
            </w:pPr>
            <w:r>
              <w:rPr>
                <w:sz w:val="20"/>
              </w:rPr>
              <w:t>−63.36</w:t>
            </w:r>
          </w:p>
        </w:tc>
        <w:tc>
          <w:tcPr>
            <w:tcW w:type="dxa" w:w="2154"/>
            <w:vAlign w:val="center"/>
            <w:shd w:val="clear" w:color="auto" w:fill="F2F2F2"/>
          </w:tcPr>
          <w:p>
            <w:pPr>
              <w:jc w:val="center"/>
            </w:pPr>
            <w:r>
              <w:rPr>
                <w:sz w:val="20"/>
              </w:rPr>
              <w:t>83.35</w:t>
            </w:r>
          </w:p>
        </w:tc>
        <w:tc>
          <w:tcPr>
            <w:tcW w:type="dxa" w:w="2041"/>
            <w:vAlign w:val="center"/>
            <w:shd w:val="clear" w:color="auto" w:fill="F2F2F2"/>
          </w:tcPr>
          <w:p>
            <w:pPr>
              <w:jc w:val="center"/>
            </w:pPr>
            <w:r>
              <w:rPr>
                <w:sz w:val="20"/>
              </w:rPr>
              <w:t>2.3</w:t>
            </w:r>
          </w:p>
        </w:tc>
      </w:tr>
      <w:tr>
        <w:tc>
          <w:tcPr>
            <w:tcW w:type="dxa" w:w="1134"/>
            <w:vAlign w:val="center"/>
            <w:shd w:val="clear" w:color="auto" w:fill="FFFFFF"/>
          </w:tcPr>
          <w:p>
            <w:pPr>
              <w:jc w:val="center"/>
            </w:pPr>
            <w:r>
              <w:rPr>
                <w:sz w:val="20"/>
              </w:rPr>
              <w:t>0.20</w:t>
            </w:r>
          </w:p>
        </w:tc>
        <w:tc>
          <w:tcPr>
            <w:tcW w:type="dxa" w:w="2154"/>
            <w:vAlign w:val="center"/>
            <w:shd w:val="clear" w:color="auto" w:fill="FFFFFF"/>
          </w:tcPr>
          <w:p>
            <w:pPr>
              <w:jc w:val="center"/>
            </w:pPr>
            <w:r>
              <w:rPr>
                <w:sz w:val="20"/>
              </w:rPr>
              <w:t>12.03</w:t>
            </w:r>
          </w:p>
        </w:tc>
        <w:tc>
          <w:tcPr>
            <w:tcW w:type="dxa" w:w="2154"/>
            <w:vAlign w:val="center"/>
            <w:shd w:val="clear" w:color="auto" w:fill="FFFFFF"/>
          </w:tcPr>
          <w:p>
            <w:pPr>
              <w:jc w:val="center"/>
            </w:pPr>
            <w:r>
              <w:rPr>
                <w:sz w:val="20"/>
              </w:rPr>
              <w:t>−63.98</w:t>
            </w:r>
          </w:p>
        </w:tc>
        <w:tc>
          <w:tcPr>
            <w:tcW w:type="dxa" w:w="2154"/>
            <w:vAlign w:val="center"/>
            <w:shd w:val="clear" w:color="auto" w:fill="FFFFFF"/>
          </w:tcPr>
          <w:p>
            <w:pPr>
              <w:jc w:val="center"/>
            </w:pPr>
            <w:r>
              <w:rPr>
                <w:sz w:val="20"/>
              </w:rPr>
              <w:t>84.17</w:t>
            </w:r>
          </w:p>
        </w:tc>
        <w:tc>
          <w:tcPr>
            <w:tcW w:type="dxa" w:w="2041"/>
            <w:vAlign w:val="center"/>
            <w:shd w:val="clear" w:color="auto" w:fill="FFFFFF"/>
          </w:tcPr>
          <w:p>
            <w:pPr>
              <w:jc w:val="center"/>
            </w:pPr>
            <w:r>
              <w:rPr>
                <w:sz w:val="20"/>
              </w:rPr>
              <w:t>2.4</w:t>
            </w:r>
          </w:p>
        </w:tc>
      </w:tr>
      <w:tr>
        <w:tc>
          <w:tcPr>
            <w:tcW w:type="dxa" w:w="1134"/>
            <w:vAlign w:val="center"/>
            <w:shd w:val="clear" w:color="auto" w:fill="F2F2F2"/>
          </w:tcPr>
          <w:p>
            <w:pPr>
              <w:jc w:val="center"/>
            </w:pPr>
            <w:r>
              <w:rPr>
                <w:sz w:val="20"/>
              </w:rPr>
              <w:t>0.25</w:t>
            </w:r>
          </w:p>
        </w:tc>
        <w:tc>
          <w:tcPr>
            <w:tcW w:type="dxa" w:w="2154"/>
            <w:vAlign w:val="center"/>
            <w:shd w:val="clear" w:color="auto" w:fill="F2F2F2"/>
          </w:tcPr>
          <w:p>
            <w:pPr>
              <w:jc w:val="center"/>
            </w:pPr>
            <w:r>
              <w:rPr>
                <w:sz w:val="20"/>
              </w:rPr>
              <w:t>11.64</w:t>
            </w:r>
          </w:p>
        </w:tc>
        <w:tc>
          <w:tcPr>
            <w:tcW w:type="dxa" w:w="2154"/>
            <w:vAlign w:val="center"/>
            <w:shd w:val="clear" w:color="auto" w:fill="F2F2F2"/>
          </w:tcPr>
          <w:p>
            <w:pPr>
              <w:jc w:val="center"/>
            </w:pPr>
            <w:r>
              <w:rPr>
                <w:sz w:val="20"/>
              </w:rPr>
              <w:t>−64.38</w:t>
            </w:r>
          </w:p>
        </w:tc>
        <w:tc>
          <w:tcPr>
            <w:tcW w:type="dxa" w:w="2154"/>
            <w:vAlign w:val="center"/>
            <w:shd w:val="clear" w:color="auto" w:fill="F2F2F2"/>
          </w:tcPr>
          <w:p>
            <w:pPr>
              <w:jc w:val="center"/>
            </w:pPr>
            <w:r>
              <w:rPr>
                <w:sz w:val="20"/>
              </w:rPr>
              <w:t>84.69</w:t>
            </w:r>
          </w:p>
        </w:tc>
        <w:tc>
          <w:tcPr>
            <w:tcW w:type="dxa" w:w="2041"/>
            <w:vAlign w:val="center"/>
            <w:shd w:val="clear" w:color="auto" w:fill="F2F2F2"/>
          </w:tcPr>
          <w:p>
            <w:pPr>
              <w:jc w:val="center"/>
            </w:pPr>
            <w:r>
              <w:rPr>
                <w:sz w:val="20"/>
              </w:rPr>
              <w:t>2.2</w:t>
            </w:r>
          </w:p>
        </w:tc>
      </w:tr>
      <w:tr>
        <w:tc>
          <w:tcPr>
            <w:tcW w:type="dxa" w:w="1134"/>
            <w:vAlign w:val="center"/>
            <w:shd w:val="clear" w:color="auto" w:fill="FFFFFF"/>
          </w:tcPr>
          <w:p>
            <w:pPr>
              <w:jc w:val="center"/>
            </w:pPr>
            <w:r>
              <w:rPr>
                <w:sz w:val="20"/>
              </w:rPr>
              <w:t>0.30</w:t>
            </w:r>
          </w:p>
        </w:tc>
        <w:tc>
          <w:tcPr>
            <w:tcW w:type="dxa" w:w="2154"/>
            <w:vAlign w:val="center"/>
            <w:shd w:val="clear" w:color="auto" w:fill="FFFFFF"/>
          </w:tcPr>
          <w:p>
            <w:pPr>
              <w:jc w:val="center"/>
            </w:pPr>
            <w:r>
              <w:rPr>
                <w:sz w:val="20"/>
              </w:rPr>
              <w:t>11.17</w:t>
            </w:r>
          </w:p>
        </w:tc>
        <w:tc>
          <w:tcPr>
            <w:tcW w:type="dxa" w:w="2154"/>
            <w:vAlign w:val="center"/>
            <w:shd w:val="clear" w:color="auto" w:fill="FFFFFF"/>
          </w:tcPr>
          <w:p>
            <w:pPr>
              <w:jc w:val="center"/>
            </w:pPr>
            <w:r>
              <w:rPr>
                <w:sz w:val="20"/>
              </w:rPr>
              <w:t>−64.84</w:t>
            </w:r>
          </w:p>
        </w:tc>
        <w:tc>
          <w:tcPr>
            <w:tcW w:type="dxa" w:w="2154"/>
            <w:vAlign w:val="center"/>
            <w:shd w:val="clear" w:color="auto" w:fill="FFFFFF"/>
          </w:tcPr>
          <w:p>
            <w:pPr>
              <w:jc w:val="center"/>
            </w:pPr>
            <w:r>
              <w:rPr>
                <w:sz w:val="20"/>
              </w:rPr>
              <w:t>85.30</w:t>
            </w:r>
          </w:p>
        </w:tc>
        <w:tc>
          <w:tcPr>
            <w:tcW w:type="dxa" w:w="2041"/>
            <w:vAlign w:val="center"/>
            <w:shd w:val="clear" w:color="auto" w:fill="FFFFFF"/>
          </w:tcPr>
          <w:p>
            <w:pPr>
              <w:jc w:val="center"/>
            </w:pPr>
            <w:r>
              <w:rPr>
                <w:sz w:val="20"/>
              </w:rPr>
              <w:t>2.2</w:t>
            </w:r>
          </w:p>
        </w:tc>
      </w:tr>
    </w:tbl>
    <w:p/>
    <w:p>
      <w:pPr>
        <w:spacing w:after="120"/>
        <w:jc w:val="both"/>
      </w:pPr>
      <w:r>
        <w:rPr>
          <w:b w:val="0"/>
          <w:i w:val="0"/>
          <w:sz w:val="22"/>
        </w:rPr>
        <w:t>Nhận xét:</w:t>
      </w:r>
    </w:p>
    <w:p>
      <w:pPr>
        <w:pStyle w:val="ListBullet"/>
        <w:spacing w:after="60"/>
      </w:pPr>
      <w:r>
        <w:rPr>
          <w:sz w:val="22"/>
        </w:rPr>
        <w:t>Ngay tại ε=0.05, FGSM đã đạt 72.35% ASR trên CIFAR-10 — mức mà MNIST cần đến ε=0.25 mới đạt được. CIFAR-10 dễ bị tấn công hơn nhiều do clean accuracy thấp hơn (76%).</w:t>
      </w:r>
    </w:p>
    <w:p>
      <w:pPr>
        <w:pStyle w:val="ListBullet"/>
        <w:spacing w:after="60"/>
      </w:pPr>
      <w:r>
        <w:rPr>
          <w:sz w:val="22"/>
        </w:rPr>
        <w:t>FGSM bão hòa nhanh: từ ε=0.15 trở đi ASR gần như không tăng thêm (83.35% → 85.30%). Trần năng lực của FGSM trên CIFAR-10 ở mức ~85%.</w:t>
      </w:r>
    </w:p>
    <w:p>
      <w:pPr>
        <w:pStyle w:val="ListBullet"/>
        <w:spacing w:after="60"/>
      </w:pPr>
      <w:r>
        <w:rPr>
          <w:sz w:val="22"/>
        </w:rPr>
        <w:t>Thời gian tấn công rất nhanh (~2.2–2.5s) và ổn định qua tất cả các mức ε.</w:t>
      </w:r>
    </w:p>
    <w:p>
      <w:pPr>
        <w:spacing w:before="120" w:after="40"/>
        <w:jc w:val="center"/>
      </w:pPr>
      <w:r>
        <w:drawing>
          <wp:inline xmlns:a="http://schemas.openxmlformats.org/drawingml/2006/main" xmlns:pic="http://schemas.openxmlformats.org/drawingml/2006/picture">
            <wp:extent cx="5040000" cy="3112690"/>
            <wp:docPr id="8" name="Picture 8"/>
            <wp:cNvGraphicFramePr>
              <a:graphicFrameLocks noChangeAspect="1"/>
            </wp:cNvGraphicFramePr>
            <a:graphic>
              <a:graphicData uri="http://schemas.openxmlformats.org/drawingml/2006/picture">
                <pic:pic>
                  <pic:nvPicPr>
                    <pic:cNvPr id="0" name="exp1_acc_vs_epsilon_cifar10.png"/>
                    <pic:cNvPicPr/>
                  </pic:nvPicPr>
                  <pic:blipFill>
                    <a:blip r:embed="rId16"/>
                    <a:stretch>
                      <a:fillRect/>
                    </a:stretch>
                  </pic:blipFill>
                  <pic:spPr>
                    <a:xfrm>
                      <a:off x="0" y="0"/>
                      <a:ext cx="5040000" cy="3112690"/>
                    </a:xfrm>
                    <a:prstGeom prst="rect"/>
                  </pic:spPr>
                </pic:pic>
              </a:graphicData>
            </a:graphic>
          </wp:inline>
        </w:drawing>
      </w:r>
    </w:p>
    <w:p>
      <w:pPr>
        <w:spacing w:after="240"/>
        <w:jc w:val="center"/>
      </w:pPr>
      <w:r>
        <w:rPr>
          <w:i/>
          <w:color w:val="555555"/>
          <w:sz w:val="20"/>
        </w:rPr>
        <w:t>Hình 8. CIFAR-10 — Robust accuracy còn lại theo ε (đường FGSM)</w:t>
      </w:r>
    </w:p>
    <w:p>
      <w:pPr>
        <w:pStyle w:val="Heading2"/>
        <w:jc w:val="left"/>
      </w:pPr>
      <w:r>
        <w:rPr>
          <w:color w:val="1F3864"/>
        </w:rPr>
        <w:t>5.3. So sánh MNIST và CIFAR-10</w:t>
      </w:r>
    </w:p>
    <w:tbl>
      <w:tblPr>
        <w:tblStyle w:val="TableGrid"/>
        <w:tblW w:type="auto" w:w="0"/>
        <w:jc w:val="center"/>
        <w:tblLook w:firstColumn="1" w:firstRow="1" w:lastColumn="0" w:lastRow="0" w:noHBand="0" w:noVBand="1" w:val="04A0"/>
      </w:tblPr>
      <w:tblGrid>
        <w:gridCol w:w="3135"/>
        <w:gridCol w:w="3135"/>
        <w:gridCol w:w="3135"/>
      </w:tblGrid>
      <w:tr>
        <w:tc>
          <w:tcPr>
            <w:tcW w:type="dxa" w:w="3969"/>
            <w:vAlign w:val="center"/>
            <w:shd w:val="clear" w:color="auto" w:fill="1F3864"/>
          </w:tcPr>
          <w:p>
            <w:pPr>
              <w:jc w:val="center"/>
            </w:pPr>
            <w:r>
              <w:rPr>
                <w:b/>
                <w:color w:val="FFFFFF"/>
                <w:sz w:val="20"/>
              </w:rPr>
              <w:t>Tiêu chí so sánh</w:t>
            </w:r>
          </w:p>
        </w:tc>
        <w:tc>
          <w:tcPr>
            <w:tcW w:type="dxa" w:w="2268"/>
            <w:vAlign w:val="center"/>
            <w:shd w:val="clear" w:color="auto" w:fill="1F3864"/>
          </w:tcPr>
          <w:p>
            <w:pPr>
              <w:jc w:val="center"/>
            </w:pPr>
            <w:r>
              <w:rPr>
                <w:b/>
                <w:color w:val="FFFFFF"/>
                <w:sz w:val="20"/>
              </w:rPr>
              <w:t>MNIST</w:t>
            </w:r>
          </w:p>
        </w:tc>
        <w:tc>
          <w:tcPr>
            <w:tcW w:type="dxa" w:w="3402"/>
            <w:vAlign w:val="center"/>
            <w:shd w:val="clear" w:color="auto" w:fill="1F3864"/>
          </w:tcPr>
          <w:p>
            <w:pPr>
              <w:jc w:val="center"/>
            </w:pPr>
            <w:r>
              <w:rPr>
                <w:b/>
                <w:color w:val="FFFFFF"/>
                <w:sz w:val="20"/>
              </w:rPr>
              <w:t>CIFAR-10</w:t>
            </w:r>
          </w:p>
        </w:tc>
      </w:tr>
      <w:tr>
        <w:tc>
          <w:tcPr>
            <w:tcW w:type="dxa" w:w="3969"/>
            <w:vAlign w:val="center"/>
            <w:shd w:val="clear" w:color="auto" w:fill="F2F2F2"/>
          </w:tcPr>
          <w:p>
            <w:pPr>
              <w:jc w:val="center"/>
            </w:pPr>
            <w:r>
              <w:rPr>
                <w:sz w:val="20"/>
              </w:rPr>
              <w:t>Clean Accuracy</w:t>
            </w:r>
          </w:p>
        </w:tc>
        <w:tc>
          <w:tcPr>
            <w:tcW w:type="dxa" w:w="2268"/>
            <w:vAlign w:val="center"/>
            <w:shd w:val="clear" w:color="auto" w:fill="F2F2F2"/>
          </w:tcPr>
          <w:p>
            <w:pPr>
              <w:jc w:val="center"/>
            </w:pPr>
            <w:r>
              <w:rPr>
                <w:sz w:val="20"/>
              </w:rPr>
              <w:t>99.45%</w:t>
            </w:r>
          </w:p>
        </w:tc>
        <w:tc>
          <w:tcPr>
            <w:tcW w:type="dxa" w:w="3402"/>
            <w:vAlign w:val="center"/>
            <w:shd w:val="clear" w:color="auto" w:fill="F2F2F2"/>
          </w:tcPr>
          <w:p>
            <w:pPr>
              <w:jc w:val="center"/>
            </w:pPr>
            <w:r>
              <w:rPr>
                <w:sz w:val="20"/>
              </w:rPr>
              <w:t>76.02%</w:t>
            </w:r>
          </w:p>
        </w:tc>
      </w:tr>
      <w:tr>
        <w:tc>
          <w:tcPr>
            <w:tcW w:type="dxa" w:w="3969"/>
            <w:vAlign w:val="center"/>
            <w:shd w:val="clear" w:color="auto" w:fill="FFFFFF"/>
          </w:tcPr>
          <w:p>
            <w:pPr>
              <w:jc w:val="center"/>
            </w:pPr>
            <w:r>
              <w:rPr>
                <w:sz w:val="20"/>
              </w:rPr>
              <w:t>FGSM ASR tại ε=0.05</w:t>
            </w:r>
          </w:p>
        </w:tc>
        <w:tc>
          <w:tcPr>
            <w:tcW w:type="dxa" w:w="2268"/>
            <w:vAlign w:val="center"/>
            <w:shd w:val="clear" w:color="auto" w:fill="FFFFFF"/>
          </w:tcPr>
          <w:p>
            <w:pPr>
              <w:jc w:val="center"/>
            </w:pPr>
            <w:r>
              <w:rPr>
                <w:sz w:val="20"/>
              </w:rPr>
              <w:t>4.95%</w:t>
            </w:r>
          </w:p>
        </w:tc>
        <w:tc>
          <w:tcPr>
            <w:tcW w:type="dxa" w:w="3402"/>
            <w:vAlign w:val="center"/>
            <w:shd w:val="clear" w:color="auto" w:fill="FFFFFF"/>
          </w:tcPr>
          <w:p>
            <w:pPr>
              <w:jc w:val="center"/>
            </w:pPr>
            <w:r>
              <w:rPr>
                <w:sz w:val="20"/>
              </w:rPr>
              <w:t>72.35%</w:t>
            </w:r>
          </w:p>
        </w:tc>
      </w:tr>
      <w:tr>
        <w:tc>
          <w:tcPr>
            <w:tcW w:type="dxa" w:w="3969"/>
            <w:vAlign w:val="center"/>
            <w:shd w:val="clear" w:color="auto" w:fill="F2F2F2"/>
          </w:tcPr>
          <w:p>
            <w:pPr>
              <w:jc w:val="center"/>
            </w:pPr>
            <w:r>
              <w:rPr>
                <w:sz w:val="20"/>
              </w:rPr>
              <w:t>FGSM ASR tại ε=0.10</w:t>
            </w:r>
          </w:p>
        </w:tc>
        <w:tc>
          <w:tcPr>
            <w:tcW w:type="dxa" w:w="2268"/>
            <w:vAlign w:val="center"/>
            <w:shd w:val="clear" w:color="auto" w:fill="F2F2F2"/>
          </w:tcPr>
          <w:p>
            <w:pPr>
              <w:jc w:val="center"/>
            </w:pPr>
            <w:r>
              <w:rPr>
                <w:sz w:val="20"/>
              </w:rPr>
              <w:t>28.99%</w:t>
            </w:r>
          </w:p>
        </w:tc>
        <w:tc>
          <w:tcPr>
            <w:tcW w:type="dxa" w:w="3402"/>
            <w:vAlign w:val="center"/>
            <w:shd w:val="clear" w:color="auto" w:fill="F2F2F2"/>
          </w:tcPr>
          <w:p>
            <w:pPr>
              <w:jc w:val="center"/>
            </w:pPr>
            <w:r>
              <w:rPr>
                <w:sz w:val="20"/>
              </w:rPr>
              <w:t>80.16%</w:t>
            </w:r>
          </w:p>
        </w:tc>
      </w:tr>
      <w:tr>
        <w:tc>
          <w:tcPr>
            <w:tcW w:type="dxa" w:w="3969"/>
            <w:vAlign w:val="center"/>
            <w:shd w:val="clear" w:color="auto" w:fill="FFFFFF"/>
          </w:tcPr>
          <w:p>
            <w:pPr>
              <w:jc w:val="center"/>
            </w:pPr>
            <w:r>
              <w:rPr>
                <w:sz w:val="20"/>
              </w:rPr>
              <w:t>FGSM ASR tại ε=0.20</w:t>
            </w:r>
          </w:p>
        </w:tc>
        <w:tc>
          <w:tcPr>
            <w:tcW w:type="dxa" w:w="2268"/>
            <w:vAlign w:val="center"/>
            <w:shd w:val="clear" w:color="auto" w:fill="FFFFFF"/>
          </w:tcPr>
          <w:p>
            <w:pPr>
              <w:jc w:val="center"/>
            </w:pPr>
            <w:r>
              <w:rPr>
                <w:sz w:val="20"/>
              </w:rPr>
              <w:t>74.71%</w:t>
            </w:r>
          </w:p>
        </w:tc>
        <w:tc>
          <w:tcPr>
            <w:tcW w:type="dxa" w:w="3402"/>
            <w:vAlign w:val="center"/>
            <w:shd w:val="clear" w:color="auto" w:fill="FFFFFF"/>
          </w:tcPr>
          <w:p>
            <w:pPr>
              <w:jc w:val="center"/>
            </w:pPr>
            <w:r>
              <w:rPr>
                <w:sz w:val="20"/>
              </w:rPr>
              <w:t>84.17%</w:t>
            </w:r>
          </w:p>
        </w:tc>
      </w:tr>
      <w:tr>
        <w:tc>
          <w:tcPr>
            <w:tcW w:type="dxa" w:w="3969"/>
            <w:vAlign w:val="center"/>
            <w:shd w:val="clear" w:color="auto" w:fill="F2F2F2"/>
          </w:tcPr>
          <w:p>
            <w:pPr>
              <w:jc w:val="center"/>
            </w:pPr>
            <w:r>
              <w:rPr>
                <w:sz w:val="20"/>
              </w:rPr>
              <w:t>FGSM ASR ceiling (ε=0.30)</w:t>
            </w:r>
          </w:p>
        </w:tc>
        <w:tc>
          <w:tcPr>
            <w:tcW w:type="dxa" w:w="2268"/>
            <w:vAlign w:val="center"/>
            <w:shd w:val="clear" w:color="auto" w:fill="F2F2F2"/>
          </w:tcPr>
          <w:p>
            <w:pPr>
              <w:jc w:val="center"/>
            </w:pPr>
            <w:r>
              <w:rPr>
                <w:sz w:val="20"/>
              </w:rPr>
              <w:t>88.77%</w:t>
            </w:r>
          </w:p>
        </w:tc>
        <w:tc>
          <w:tcPr>
            <w:tcW w:type="dxa" w:w="3402"/>
            <w:vAlign w:val="center"/>
            <w:shd w:val="clear" w:color="auto" w:fill="F2F2F2"/>
          </w:tcPr>
          <w:p>
            <w:pPr>
              <w:jc w:val="center"/>
            </w:pPr>
            <w:r>
              <w:rPr>
                <w:sz w:val="20"/>
              </w:rPr>
              <w:t>85.30%</w:t>
            </w:r>
          </w:p>
        </w:tc>
      </w:tr>
      <w:tr>
        <w:tc>
          <w:tcPr>
            <w:tcW w:type="dxa" w:w="3969"/>
            <w:vAlign w:val="center"/>
            <w:shd w:val="clear" w:color="auto" w:fill="FFFFFF"/>
          </w:tcPr>
          <w:p>
            <w:pPr>
              <w:jc w:val="center"/>
            </w:pPr>
            <w:r>
              <w:rPr>
                <w:sz w:val="20"/>
              </w:rPr>
              <w:t>ε để đạt ASR &gt; 80%</w:t>
            </w:r>
          </w:p>
        </w:tc>
        <w:tc>
          <w:tcPr>
            <w:tcW w:type="dxa" w:w="2268"/>
            <w:vAlign w:val="center"/>
            <w:shd w:val="clear" w:color="auto" w:fill="FFFFFF"/>
          </w:tcPr>
          <w:p>
            <w:pPr>
              <w:jc w:val="center"/>
            </w:pPr>
            <w:r>
              <w:rPr>
                <w:sz w:val="20"/>
              </w:rPr>
              <w:t>~0.25</w:t>
            </w:r>
          </w:p>
        </w:tc>
        <w:tc>
          <w:tcPr>
            <w:tcW w:type="dxa" w:w="3402"/>
            <w:vAlign w:val="center"/>
            <w:shd w:val="clear" w:color="auto" w:fill="FFFFFF"/>
          </w:tcPr>
          <w:p>
            <w:pPr>
              <w:jc w:val="center"/>
            </w:pPr>
            <w:r>
              <w:rPr>
                <w:sz w:val="20"/>
              </w:rPr>
              <w:t>~0.10</w:t>
            </w:r>
          </w:p>
        </w:tc>
      </w:tr>
      <w:tr>
        <w:tc>
          <w:tcPr>
            <w:tcW w:type="dxa" w:w="3969"/>
            <w:vAlign w:val="center"/>
            <w:shd w:val="clear" w:color="auto" w:fill="F2F2F2"/>
          </w:tcPr>
          <w:p>
            <w:pPr>
              <w:jc w:val="center"/>
            </w:pPr>
            <w:r>
              <w:rPr>
                <w:sz w:val="20"/>
              </w:rPr>
              <w:t>Thời gian trung bình</w:t>
            </w:r>
          </w:p>
        </w:tc>
        <w:tc>
          <w:tcPr>
            <w:tcW w:type="dxa" w:w="2268"/>
            <w:vAlign w:val="center"/>
            <w:shd w:val="clear" w:color="auto" w:fill="F2F2F2"/>
          </w:tcPr>
          <w:p>
            <w:pPr>
              <w:jc w:val="center"/>
            </w:pPr>
            <w:r>
              <w:rPr>
                <w:sz w:val="20"/>
              </w:rPr>
              <w:t>~3.0s</w:t>
            </w:r>
          </w:p>
        </w:tc>
        <w:tc>
          <w:tcPr>
            <w:tcW w:type="dxa" w:w="3402"/>
            <w:vAlign w:val="center"/>
            <w:shd w:val="clear" w:color="auto" w:fill="F2F2F2"/>
          </w:tcPr>
          <w:p>
            <w:pPr>
              <w:jc w:val="center"/>
            </w:pPr>
            <w:r>
              <w:rPr>
                <w:sz w:val="20"/>
              </w:rPr>
              <w:t>~2.3s</w:t>
            </w:r>
          </w:p>
        </w:tc>
      </w:tr>
    </w:tbl>
    <w:p/>
    <w:p>
      <w:pPr>
        <w:spacing w:after="120"/>
        <w:jc w:val="both"/>
      </w:pPr>
      <w:r>
        <w:rPr>
          <w:b w:val="0"/>
          <w:i w:val="0"/>
          <w:sz w:val="22"/>
        </w:rPr>
        <w:t>CIFAR-10 nhạy với FGSM hơn MNIST rõ rệt dù về mặt trực giác là bài toán khó hơn. Nguyên nhân: clean accuracy thấp hơn đồng nghĩa ranh giới quyết định gần với vùng dữ liệu hơn, gradient 1 bước dễ tìm được hướng vượt biên hơn.</w:t>
      </w:r>
    </w:p>
    <w:p>
      <w:pPr>
        <w:pStyle w:val="Heading1"/>
        <w:jc w:val="left"/>
      </w:pPr>
      <w:r>
        <w:rPr>
          <w:color w:val="1F3864"/>
        </w:rPr>
        <w:t>6. Thực nghiệm 2 — Trực quan hóa ảnh đối kháng FGSM</w:t>
      </w:r>
    </w:p>
    <w:p>
      <w:pPr>
        <w:spacing w:after="120"/>
        <w:jc w:val="both"/>
      </w:pPr>
      <w:r>
        <w:rPr>
          <w:b w:val="0"/>
          <w:i w:val="0"/>
          <w:sz w:val="22"/>
        </w:rPr>
        <w:t>Thực nghiệm 2 trực quan hóa trực tiếp tác động của FGSM lên ảnh khi thay đổi ε, giúp quan sát đồng thời sự thay đổi về nội dung ảnh và quyết định của mô hình trên cùng một tập mẫu.</w:t>
      </w:r>
    </w:p>
    <w:p>
      <w:pPr>
        <w:pStyle w:val="Heading2"/>
        <w:jc w:val="left"/>
      </w:pPr>
      <w:r>
        <w:rPr>
          <w:color w:val="1F3864"/>
        </w:rPr>
        <w:t>6.1. Grid so sánh ảnh đối kháng FGSM theo ε</w:t>
      </w:r>
    </w:p>
    <w:p>
      <w:pPr>
        <w:spacing w:after="120"/>
        <w:jc w:val="both"/>
      </w:pPr>
      <w:r>
        <w:rPr>
          <w:b w:val="0"/>
          <w:i w:val="0"/>
          <w:sz w:val="22"/>
        </w:rPr>
        <w:t>Mỗi hàng là một mẫu ảnh được phân loại đúng trước tấn công. Cột đầu tiên là ảnh gốc; các cột tiếp theo là ảnh đối kháng FGSM tại ε = 0.05, 0.10, 0.15, 0.20, 0.25, 0.30. Nhãn xanh ✓ = mô hình vẫn đúng; nhãn đỏ ✗ = mô hình bị đánh lừa, kèm confidence %. Hàng nhỏ bên dưới mỗi ảnh đối kháng là nhiễu được khuếch đại ×10 để mắt người có thể nhìn thấy.</w:t>
      </w:r>
    </w:p>
    <w:p>
      <w:pPr>
        <w:spacing w:before="120" w:after="40"/>
        <w:jc w:val="center"/>
      </w:pPr>
      <w:r>
        <w:drawing>
          <wp:inline xmlns:a="http://schemas.openxmlformats.org/drawingml/2006/main" xmlns:pic="http://schemas.openxmlformats.org/drawingml/2006/picture">
            <wp:extent cx="6120000" cy="3453581"/>
            <wp:docPr id="9" name="Picture 9"/>
            <wp:cNvGraphicFramePr>
              <a:graphicFrameLocks noChangeAspect="1"/>
            </wp:cNvGraphicFramePr>
            <a:graphic>
              <a:graphicData uri="http://schemas.openxmlformats.org/drawingml/2006/picture">
                <pic:pic>
                  <pic:nvPicPr>
                    <pic:cNvPr id="0" name="fgsm_epsilon_grid_mnist.png"/>
                    <pic:cNvPicPr/>
                  </pic:nvPicPr>
                  <pic:blipFill>
                    <a:blip r:embed="rId17"/>
                    <a:stretch>
                      <a:fillRect/>
                    </a:stretch>
                  </pic:blipFill>
                  <pic:spPr>
                    <a:xfrm>
                      <a:off x="0" y="0"/>
                      <a:ext cx="6120000" cy="3453581"/>
                    </a:xfrm>
                    <a:prstGeom prst="rect"/>
                  </pic:spPr>
                </pic:pic>
              </a:graphicData>
            </a:graphic>
          </wp:inline>
        </w:drawing>
      </w:r>
    </w:p>
    <w:p>
      <w:pPr>
        <w:spacing w:after="240"/>
        <w:jc w:val="center"/>
      </w:pPr>
      <w:r>
        <w:rPr>
          <w:i/>
          <w:color w:val="555555"/>
          <w:sz w:val="20"/>
        </w:rPr>
        <w:t>Hình 9. MNIST — FGSM: ảnh đối kháng và nhiễu (×10) theo từng mức ε</w:t>
      </w:r>
    </w:p>
    <w:p>
      <w:pPr>
        <w:spacing w:after="120"/>
        <w:jc w:val="both"/>
      </w:pPr>
      <w:r>
        <w:rPr>
          <w:b w:val="0"/>
          <w:i w:val="0"/>
          <w:sz w:val="22"/>
        </w:rPr>
        <w:t>Nhận xét MNIST:</w:t>
      </w:r>
    </w:p>
    <w:p>
      <w:pPr>
        <w:pStyle w:val="ListBullet"/>
        <w:spacing w:after="60"/>
      </w:pPr>
      <w:r>
        <w:rPr>
          <w:sz w:val="22"/>
        </w:rPr>
        <w:t>Ở ε=0.05–0.10, ảnh đối kháng gần như không thể phân biệt với ảnh gốc bằng mắt thường, nhưng mô hình đã bắt đầu bị đánh lừa ở một số mẫu (ASR ~5–29%).</w:t>
      </w:r>
    </w:p>
    <w:p>
      <w:pPr>
        <w:pStyle w:val="ListBullet"/>
        <w:spacing w:after="60"/>
      </w:pPr>
      <w:r>
        <w:rPr>
          <w:sz w:val="22"/>
        </w:rPr>
        <w:t>Từ ε=0.15 trở đi, nhiễu bắt đầu nhìn thấy rõ hơn; nhãn dự đoán đổi sang ✗ với confidence cao — mô hình "tự tin sai".</w:t>
      </w:r>
    </w:p>
    <w:p>
      <w:pPr>
        <w:pStyle w:val="ListBullet"/>
        <w:spacing w:after="60"/>
      </w:pPr>
      <w:r>
        <w:rPr>
          <w:sz w:val="22"/>
        </w:rPr>
        <w:t>Nhiễu ×10 cho thấy cấu trúc rõ ràng: không phải nhiễu ngẫu nhiên mà có hướng nhất định theo gradient, đặc trưng của FGSM.</w:t>
      </w:r>
    </w:p>
    <w:p>
      <w:pPr>
        <w:spacing w:before="120" w:after="40"/>
        <w:jc w:val="center"/>
      </w:pPr>
      <w:r>
        <w:drawing>
          <wp:inline xmlns:a="http://schemas.openxmlformats.org/drawingml/2006/main" xmlns:pic="http://schemas.openxmlformats.org/drawingml/2006/picture">
            <wp:extent cx="6120000" cy="3453581"/>
            <wp:docPr id="10" name="Picture 10"/>
            <wp:cNvGraphicFramePr>
              <a:graphicFrameLocks noChangeAspect="1"/>
            </wp:cNvGraphicFramePr>
            <a:graphic>
              <a:graphicData uri="http://schemas.openxmlformats.org/drawingml/2006/picture">
                <pic:pic>
                  <pic:nvPicPr>
                    <pic:cNvPr id="0" name="fgsm_epsilon_grid_cifar10.png"/>
                    <pic:cNvPicPr/>
                  </pic:nvPicPr>
                  <pic:blipFill>
                    <a:blip r:embed="rId18"/>
                    <a:stretch>
                      <a:fillRect/>
                    </a:stretch>
                  </pic:blipFill>
                  <pic:spPr>
                    <a:xfrm>
                      <a:off x="0" y="0"/>
                      <a:ext cx="6120000" cy="3453581"/>
                    </a:xfrm>
                    <a:prstGeom prst="rect"/>
                  </pic:spPr>
                </pic:pic>
              </a:graphicData>
            </a:graphic>
          </wp:inline>
        </w:drawing>
      </w:r>
    </w:p>
    <w:p>
      <w:pPr>
        <w:spacing w:after="240"/>
        <w:jc w:val="center"/>
      </w:pPr>
      <w:r>
        <w:rPr>
          <w:i/>
          <w:color w:val="555555"/>
          <w:sz w:val="20"/>
        </w:rPr>
        <w:t>Hình 10. CIFAR-10 — FGSM: ảnh đối kháng và nhiễu (×10) theo từng mức ε</w:t>
      </w:r>
    </w:p>
    <w:p>
      <w:pPr>
        <w:spacing w:after="120"/>
        <w:jc w:val="both"/>
      </w:pPr>
      <w:r>
        <w:rPr>
          <w:b w:val="0"/>
          <w:i w:val="0"/>
          <w:sz w:val="22"/>
        </w:rPr>
        <w:t>Nhận xét CIFAR-10:</w:t>
      </w:r>
    </w:p>
    <w:p>
      <w:pPr>
        <w:pStyle w:val="ListBullet"/>
        <w:spacing w:after="60"/>
      </w:pPr>
      <w:r>
        <w:rPr>
          <w:sz w:val="22"/>
        </w:rPr>
        <w:t>Trên CIFAR-10, ngay ở ε=0.05 phần lớn mẫu đã bị dự đoán sai (ASR 72%), xác nhận CIFAR-10 nhạy với FGSM hơn nhiều so với MNIST.</w:t>
      </w:r>
    </w:p>
    <w:p>
      <w:pPr>
        <w:pStyle w:val="ListBullet"/>
        <w:spacing w:after="60"/>
      </w:pPr>
      <w:r>
        <w:rPr>
          <w:sz w:val="22"/>
        </w:rPr>
        <w:t>Từ ε=0.10 trở đi, hầu hết tất cả ô đều đổi sang ✗ — phù hợp với số liệu ASR ≥ 80% từ thực nghiệm 1.</w:t>
      </w:r>
    </w:p>
    <w:p>
      <w:pPr>
        <w:pStyle w:val="ListBullet"/>
        <w:spacing w:after="60"/>
      </w:pPr>
      <w:r>
        <w:rPr>
          <w:sz w:val="22"/>
        </w:rPr>
        <w:t>Nhiễu trên ảnh màu CIFAR-10 xuất hiện như một lớp "vân" màu nhạt trải đều, vẫn không thể phân biệt bằng mắt thường ở ε nhỏ nhưng đủ để đánh lừa mô hình.</w:t>
      </w:r>
    </w:p>
    <w:p>
      <w:pPr>
        <w:pStyle w:val="Heading2"/>
        <w:jc w:val="left"/>
      </w:pPr>
      <w:r>
        <w:rPr>
          <w:color w:val="1F3864"/>
        </w:rPr>
        <w:t>6.2. Biểu đồ xác suất dự đoán trước và sau tấn công</w:t>
      </w:r>
    </w:p>
    <w:p>
      <w:pPr>
        <w:spacing w:after="120"/>
        <w:jc w:val="both"/>
      </w:pPr>
      <w:r>
        <w:rPr>
          <w:b w:val="0"/>
          <w:i w:val="0"/>
          <w:sz w:val="22"/>
        </w:rPr>
        <w:t>Biểu đồ cột softmax trước tấn công (xanh lam) và sau tấn công FGSM (đỏ) tại ε=0.30. Cột nhãn đúng được viền đen. Kết quả cho thấy trước tấn công mô hình phân loại với độ tự tin rất cao (~99%); sau tấn công, toàn bộ xác suất dịch chuyển sang một lớp sai — cũng với độ tự tin cao.</w:t>
      </w:r>
    </w:p>
    <w:p>
      <w:pPr>
        <w:spacing w:before="120" w:after="40"/>
        <w:jc w:val="center"/>
      </w:pPr>
      <w:r>
        <w:drawing>
          <wp:inline xmlns:a="http://schemas.openxmlformats.org/drawingml/2006/main" xmlns:pic="http://schemas.openxmlformats.org/drawingml/2006/picture">
            <wp:extent cx="5040000" cy="1069857"/>
            <wp:docPr id="11" name="Picture 11"/>
            <wp:cNvGraphicFramePr>
              <a:graphicFrameLocks noChangeAspect="1"/>
            </wp:cNvGraphicFramePr>
            <a:graphic>
              <a:graphicData uri="http://schemas.openxmlformats.org/drawingml/2006/picture">
                <pic:pic>
                  <pic:nvPicPr>
                    <pic:cNvPr id="0" name="exp3_pred_probs_mnist.png"/>
                    <pic:cNvPicPr/>
                  </pic:nvPicPr>
                  <pic:blipFill>
                    <a:blip r:embed="rId19"/>
                    <a:stretch>
                      <a:fillRect/>
                    </a:stretch>
                  </pic:blipFill>
                  <pic:spPr>
                    <a:xfrm>
                      <a:off x="0" y="0"/>
                      <a:ext cx="5040000" cy="1069857"/>
                    </a:xfrm>
                    <a:prstGeom prst="rect"/>
                  </pic:spPr>
                </pic:pic>
              </a:graphicData>
            </a:graphic>
          </wp:inline>
        </w:drawing>
      </w:r>
    </w:p>
    <w:p>
      <w:pPr>
        <w:spacing w:after="240"/>
        <w:jc w:val="center"/>
      </w:pPr>
      <w:r>
        <w:rPr>
          <w:i/>
          <w:color w:val="555555"/>
          <w:sz w:val="20"/>
        </w:rPr>
        <w:t>Hình 11. MNIST — Phân phối xác suất trước (xanh) và sau (đỏ) tấn công FGSM</w:t>
      </w:r>
    </w:p>
    <w:p>
      <w:pPr>
        <w:spacing w:before="120" w:after="40"/>
        <w:jc w:val="center"/>
      </w:pPr>
      <w:r>
        <w:drawing>
          <wp:inline xmlns:a="http://schemas.openxmlformats.org/drawingml/2006/main" xmlns:pic="http://schemas.openxmlformats.org/drawingml/2006/picture">
            <wp:extent cx="5040000" cy="1069857"/>
            <wp:docPr id="12" name="Picture 12"/>
            <wp:cNvGraphicFramePr>
              <a:graphicFrameLocks noChangeAspect="1"/>
            </wp:cNvGraphicFramePr>
            <a:graphic>
              <a:graphicData uri="http://schemas.openxmlformats.org/drawingml/2006/picture">
                <pic:pic>
                  <pic:nvPicPr>
                    <pic:cNvPr id="0" name="exp3_pred_probs_cifar10.png"/>
                    <pic:cNvPicPr/>
                  </pic:nvPicPr>
                  <pic:blipFill>
                    <a:blip r:embed="rId20"/>
                    <a:stretch>
                      <a:fillRect/>
                    </a:stretch>
                  </pic:blipFill>
                  <pic:spPr>
                    <a:xfrm>
                      <a:off x="0" y="0"/>
                      <a:ext cx="5040000" cy="1069857"/>
                    </a:xfrm>
                    <a:prstGeom prst="rect"/>
                  </pic:spPr>
                </pic:pic>
              </a:graphicData>
            </a:graphic>
          </wp:inline>
        </w:drawing>
      </w:r>
    </w:p>
    <w:p>
      <w:pPr>
        <w:spacing w:after="240"/>
        <w:jc w:val="center"/>
      </w:pPr>
      <w:r>
        <w:rPr>
          <w:i/>
          <w:color w:val="555555"/>
          <w:sz w:val="20"/>
        </w:rPr>
        <w:t>Hình 12. CIFAR-10 — Phân phối xác suất trước (xanh) và sau (đỏ) tấn công FGSM</w:t>
      </w:r>
    </w:p>
    <w:p>
      <w:pPr>
        <w:pStyle w:val="Heading1"/>
        <w:jc w:val="left"/>
      </w:pPr>
      <w:r>
        <w:rPr>
          <w:color w:val="1F3864"/>
        </w:rPr>
        <w:t>7. Thực nghiệm 3 — Cross-Architecture Transfer Attack (FGSM)</w:t>
      </w:r>
    </w:p>
    <w:p>
      <w:pPr>
        <w:spacing w:after="120"/>
        <w:jc w:val="both"/>
      </w:pPr>
      <w:r>
        <w:rPr>
          <w:b w:val="0"/>
          <w:i w:val="0"/>
          <w:sz w:val="22"/>
        </w:rPr>
        <w:t>Thực nghiệm 3 trả lời câu hỏi: ảnh đối kháng được tạo ra bởi FGSM trên mô hình A (source) có thể đánh lừa mô hình B hoàn toàn khác kiến trúc (target) không? Đây là kịch bản tấn công black-box — attacker chỉ có quyền truy cập vào một mô hình thay thế (surrogate), không biết kiến trúc hay trọng số của mô hình đích.</w:t>
      </w:r>
    </w:p>
    <w:p>
      <w:pPr>
        <w:spacing w:after="120"/>
        <w:jc w:val="both"/>
      </w:pPr>
      <w:r>
        <w:rPr>
          <w:b w:val="0"/>
          <w:i w:val="0"/>
          <w:sz w:val="22"/>
        </w:rPr>
        <w:t>Ba model CIFAR-10 (SimpleCNN, ResNet18, MobileNetV2) tạo thành ma trận tấn công 3×3. Đường chéo là white-box (WB — source = target); ngoài đường chéo là transfer attack (black-box).</w:t>
      </w:r>
    </w:p>
    <w:p>
      <w:pPr>
        <w:pStyle w:val="Heading2"/>
        <w:jc w:val="left"/>
      </w:pPr>
      <w:r>
        <w:rPr>
          <w:color w:val="1F3864"/>
        </w:rPr>
        <w:t>7.1. Độ chính xác nền (Clean Accuracy) của 3 model</w:t>
      </w:r>
    </w:p>
    <w:tbl>
      <w:tblPr>
        <w:tblStyle w:val="TableGrid"/>
        <w:tblW w:type="auto" w:w="0"/>
        <w:jc w:val="center"/>
        <w:tblLook w:firstColumn="1" w:firstRow="1" w:lastColumn="0" w:lastRow="0" w:noHBand="0" w:noVBand="1" w:val="04A0"/>
      </w:tblPr>
      <w:tblGrid>
        <w:gridCol w:w="4702"/>
        <w:gridCol w:w="4702"/>
      </w:tblGrid>
      <w:tr>
        <w:tc>
          <w:tcPr>
            <w:tcW w:type="dxa" w:w="3118"/>
            <w:vAlign w:val="center"/>
            <w:shd w:val="clear" w:color="auto" w:fill="1F3864"/>
          </w:tcPr>
          <w:p>
            <w:pPr>
              <w:jc w:val="center"/>
            </w:pPr>
            <w:r>
              <w:rPr>
                <w:b/>
                <w:color w:val="FFFFFF"/>
                <w:sz w:val="20"/>
              </w:rPr>
              <w:t>Mô hình</w:t>
            </w:r>
          </w:p>
        </w:tc>
        <w:tc>
          <w:tcPr>
            <w:tcW w:type="dxa" w:w="6520"/>
            <w:vAlign w:val="center"/>
            <w:shd w:val="clear" w:color="auto" w:fill="1F3864"/>
          </w:tcPr>
          <w:p>
            <w:pPr>
              <w:jc w:val="center"/>
            </w:pPr>
            <w:r>
              <w:rPr>
                <w:b/>
                <w:color w:val="FFFFFF"/>
                <w:sz w:val="20"/>
              </w:rPr>
              <w:t>Clean Accuracy (CIFAR-10 test set)</w:t>
            </w:r>
          </w:p>
        </w:tc>
      </w:tr>
      <w:tr>
        <w:tc>
          <w:tcPr>
            <w:tcW w:type="dxa" w:w="3118"/>
            <w:vAlign w:val="center"/>
            <w:shd w:val="clear" w:color="auto" w:fill="F2F2F2"/>
          </w:tcPr>
          <w:p>
            <w:pPr>
              <w:jc w:val="center"/>
            </w:pPr>
            <w:r>
              <w:rPr>
                <w:sz w:val="20"/>
              </w:rPr>
              <w:t>SimpleCNN</w:t>
            </w:r>
          </w:p>
        </w:tc>
        <w:tc>
          <w:tcPr>
            <w:tcW w:type="dxa" w:w="6520"/>
            <w:vAlign w:val="center"/>
            <w:shd w:val="clear" w:color="auto" w:fill="F2F2F2"/>
          </w:tcPr>
          <w:p>
            <w:pPr>
              <w:jc w:val="center"/>
            </w:pPr>
            <w:r>
              <w:rPr>
                <w:sz w:val="20"/>
              </w:rPr>
              <w:t>76.02%</w:t>
            </w:r>
          </w:p>
        </w:tc>
      </w:tr>
      <w:tr>
        <w:tc>
          <w:tcPr>
            <w:tcW w:type="dxa" w:w="3118"/>
            <w:vAlign w:val="center"/>
            <w:shd w:val="clear" w:color="auto" w:fill="FFFFFF"/>
          </w:tcPr>
          <w:p>
            <w:pPr>
              <w:jc w:val="center"/>
            </w:pPr>
            <w:r>
              <w:rPr>
                <w:sz w:val="20"/>
              </w:rPr>
              <w:t>ResNet18</w:t>
            </w:r>
          </w:p>
        </w:tc>
        <w:tc>
          <w:tcPr>
            <w:tcW w:type="dxa" w:w="6520"/>
            <w:vAlign w:val="center"/>
            <w:shd w:val="clear" w:color="auto" w:fill="FFFFFF"/>
          </w:tcPr>
          <w:p>
            <w:pPr>
              <w:jc w:val="center"/>
            </w:pPr>
            <w:r>
              <w:rPr>
                <w:sz w:val="20"/>
              </w:rPr>
              <w:t>81.48%</w:t>
            </w:r>
          </w:p>
        </w:tc>
      </w:tr>
      <w:tr>
        <w:tc>
          <w:tcPr>
            <w:tcW w:type="dxa" w:w="3118"/>
            <w:vAlign w:val="center"/>
            <w:shd w:val="clear" w:color="auto" w:fill="F2F2F2"/>
          </w:tcPr>
          <w:p>
            <w:pPr>
              <w:jc w:val="center"/>
            </w:pPr>
            <w:r>
              <w:rPr>
                <w:sz w:val="20"/>
              </w:rPr>
              <w:t>MobileNetV2</w:t>
            </w:r>
          </w:p>
        </w:tc>
        <w:tc>
          <w:tcPr>
            <w:tcW w:type="dxa" w:w="6520"/>
            <w:vAlign w:val="center"/>
            <w:shd w:val="clear" w:color="auto" w:fill="F2F2F2"/>
          </w:tcPr>
          <w:p>
            <w:pPr>
              <w:jc w:val="center"/>
            </w:pPr>
            <w:r>
              <w:rPr>
                <w:sz w:val="20"/>
              </w:rPr>
              <w:t>85.00%</w:t>
            </w:r>
          </w:p>
        </w:tc>
      </w:tr>
    </w:tbl>
    <w:p/>
    <w:p>
      <w:pPr>
        <w:pStyle w:val="Heading2"/>
        <w:jc w:val="left"/>
      </w:pPr>
      <w:r>
        <w:rPr>
          <w:color w:val="1F3864"/>
        </w:rPr>
        <w:t>7.2. Ma trận FGSM Attack Success Rate tại ε=0.20</w:t>
      </w:r>
    </w:p>
    <w:p>
      <w:pPr>
        <w:spacing w:after="120"/>
        <w:jc w:val="both"/>
      </w:pPr>
      <w:r>
        <w:rPr>
          <w:b w:val="0"/>
          <w:i w:val="0"/>
          <w:sz w:val="22"/>
        </w:rPr>
        <w:t>Bảng dưới trình bày ASR (%) của FGSM tại ε=0.20. Hàng = Source model (sinh ảnh đối kháng), Cột = Target model (bị đánh giá). Ô chéo (WB) là tấn công white-box; ô ngoài chéo là transfer black-box.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vAlign w:val="center"/>
            <w:shd w:val="clear" w:color="auto" w:fill="1F3864"/>
          </w:tcPr>
          <w:p>
            <w:pPr>
              <w:jc w:val="center"/>
            </w:pPr>
            <w:r>
              <w:rPr>
                <w:b/>
                <w:color w:val="FFFFFF"/>
                <w:sz w:val="20"/>
              </w:rPr>
              <w:t>Source \ Target</w:t>
            </w:r>
          </w:p>
        </w:tc>
        <w:tc>
          <w:tcPr>
            <w:tcW w:type="dxa" w:w="2551"/>
            <w:vAlign w:val="center"/>
            <w:shd w:val="clear" w:color="auto" w:fill="1F3864"/>
          </w:tcPr>
          <w:p>
            <w:pPr>
              <w:jc w:val="center"/>
            </w:pPr>
            <w:r>
              <w:rPr>
                <w:b/>
                <w:color w:val="FFFFFF"/>
                <w:sz w:val="20"/>
              </w:rPr>
              <w:t>SimpleCNN</w:t>
            </w:r>
          </w:p>
        </w:tc>
        <w:tc>
          <w:tcPr>
            <w:tcW w:type="dxa" w:w="2551"/>
            <w:vAlign w:val="center"/>
            <w:shd w:val="clear" w:color="auto" w:fill="1F3864"/>
          </w:tcPr>
          <w:p>
            <w:pPr>
              <w:jc w:val="center"/>
            </w:pPr>
            <w:r>
              <w:rPr>
                <w:b/>
                <w:color w:val="FFFFFF"/>
                <w:sz w:val="20"/>
              </w:rPr>
              <w:t>ResNet18</w:t>
            </w:r>
          </w:p>
        </w:tc>
        <w:tc>
          <w:tcPr>
            <w:tcW w:type="dxa" w:w="2551"/>
            <w:vAlign w:val="center"/>
            <w:shd w:val="clear" w:color="auto" w:fill="1F3864"/>
          </w:tcPr>
          <w:p>
            <w:pPr>
              <w:jc w:val="center"/>
            </w:pPr>
            <w:r>
              <w:rPr>
                <w:b/>
                <w:color w:val="FFFFFF"/>
                <w:sz w:val="20"/>
              </w:rPr>
              <w:t>MobileNetV2</w:t>
            </w:r>
          </w:p>
        </w:tc>
      </w:tr>
      <w:tr>
        <w:tc>
          <w:tcPr>
            <w:tcW w:type="dxa" w:w="2551"/>
            <w:vAlign w:val="center"/>
            <w:shd w:val="clear" w:color="auto" w:fill="F2F2F2"/>
          </w:tcPr>
          <w:p>
            <w:pPr>
              <w:jc w:val="center"/>
            </w:pPr>
            <w:r>
              <w:rPr>
                <w:sz w:val="20"/>
              </w:rPr>
              <w:t>SimpleCNN</w:t>
            </w:r>
          </w:p>
        </w:tc>
        <w:tc>
          <w:tcPr>
            <w:tcW w:type="dxa" w:w="2551"/>
            <w:vAlign w:val="center"/>
            <w:shd w:val="clear" w:color="auto" w:fill="F2F2F2"/>
          </w:tcPr>
          <w:p>
            <w:pPr>
              <w:jc w:val="center"/>
            </w:pPr>
            <w:r>
              <w:rPr>
                <w:sz w:val="20"/>
              </w:rPr>
              <w:t>84.17% (WB)</w:t>
            </w:r>
          </w:p>
        </w:tc>
        <w:tc>
          <w:tcPr>
            <w:tcW w:type="dxa" w:w="2551"/>
            <w:vAlign w:val="center"/>
            <w:shd w:val="clear" w:color="auto" w:fill="F2F2F2"/>
          </w:tcPr>
          <w:p>
            <w:pPr>
              <w:jc w:val="center"/>
            </w:pPr>
            <w:r>
              <w:rPr>
                <w:sz w:val="20"/>
              </w:rPr>
              <w:t>64.13%</w:t>
            </w:r>
          </w:p>
        </w:tc>
        <w:tc>
          <w:tcPr>
            <w:tcW w:type="dxa" w:w="2551"/>
            <w:vAlign w:val="center"/>
            <w:shd w:val="clear" w:color="auto" w:fill="F2F2F2"/>
          </w:tcPr>
          <w:p>
            <w:pPr>
              <w:jc w:val="center"/>
            </w:pPr>
            <w:r>
              <w:rPr>
                <w:sz w:val="20"/>
              </w:rPr>
              <w:t>73.79%</w:t>
            </w:r>
          </w:p>
        </w:tc>
      </w:tr>
      <w:tr>
        <w:tc>
          <w:tcPr>
            <w:tcW w:type="dxa" w:w="2551"/>
            <w:vAlign w:val="center"/>
            <w:shd w:val="clear" w:color="auto" w:fill="FFFFFF"/>
          </w:tcPr>
          <w:p>
            <w:pPr>
              <w:jc w:val="center"/>
            </w:pPr>
            <w:r>
              <w:rPr>
                <w:sz w:val="20"/>
              </w:rPr>
              <w:t>ResNet18</w:t>
            </w:r>
          </w:p>
        </w:tc>
        <w:tc>
          <w:tcPr>
            <w:tcW w:type="dxa" w:w="2551"/>
            <w:vAlign w:val="center"/>
            <w:shd w:val="clear" w:color="auto" w:fill="FFFFFF"/>
          </w:tcPr>
          <w:p>
            <w:pPr>
              <w:jc w:val="center"/>
            </w:pPr>
            <w:r>
              <w:rPr>
                <w:sz w:val="20"/>
              </w:rPr>
              <w:t>75.55%</w:t>
            </w:r>
          </w:p>
        </w:tc>
        <w:tc>
          <w:tcPr>
            <w:tcW w:type="dxa" w:w="2551"/>
            <w:vAlign w:val="center"/>
            <w:shd w:val="clear" w:color="auto" w:fill="FFFFFF"/>
          </w:tcPr>
          <w:p>
            <w:pPr>
              <w:jc w:val="center"/>
            </w:pPr>
            <w:r>
              <w:rPr>
                <w:sz w:val="20"/>
              </w:rPr>
              <w:t>89.45% (WB)</w:t>
            </w:r>
          </w:p>
        </w:tc>
        <w:tc>
          <w:tcPr>
            <w:tcW w:type="dxa" w:w="2551"/>
            <w:vAlign w:val="center"/>
            <w:shd w:val="clear" w:color="auto" w:fill="FFFFFF"/>
          </w:tcPr>
          <w:p>
            <w:pPr>
              <w:jc w:val="center"/>
            </w:pPr>
            <w:r>
              <w:rPr>
                <w:sz w:val="20"/>
              </w:rPr>
              <w:t>75.26%</w:t>
            </w:r>
          </w:p>
        </w:tc>
      </w:tr>
      <w:tr>
        <w:tc>
          <w:tcPr>
            <w:tcW w:type="dxa" w:w="2551"/>
            <w:vAlign w:val="center"/>
            <w:shd w:val="clear" w:color="auto" w:fill="F2F2F2"/>
          </w:tcPr>
          <w:p>
            <w:pPr>
              <w:jc w:val="center"/>
            </w:pPr>
            <w:r>
              <w:rPr>
                <w:sz w:val="20"/>
              </w:rPr>
              <w:t>MobileNetV2</w:t>
            </w:r>
          </w:p>
        </w:tc>
        <w:tc>
          <w:tcPr>
            <w:tcW w:type="dxa" w:w="2551"/>
            <w:vAlign w:val="center"/>
            <w:shd w:val="clear" w:color="auto" w:fill="F2F2F2"/>
          </w:tcPr>
          <w:p>
            <w:pPr>
              <w:jc w:val="center"/>
            </w:pPr>
            <w:r>
              <w:rPr>
                <w:sz w:val="20"/>
              </w:rPr>
              <w:t>74.63%</w:t>
            </w:r>
          </w:p>
        </w:tc>
        <w:tc>
          <w:tcPr>
            <w:tcW w:type="dxa" w:w="2551"/>
            <w:vAlign w:val="center"/>
            <w:shd w:val="clear" w:color="auto" w:fill="F2F2F2"/>
          </w:tcPr>
          <w:p>
            <w:pPr>
              <w:jc w:val="center"/>
            </w:pPr>
            <w:r>
              <w:rPr>
                <w:sz w:val="20"/>
              </w:rPr>
              <w:t>63.88%</w:t>
            </w:r>
          </w:p>
        </w:tc>
        <w:tc>
          <w:tcPr>
            <w:tcW w:type="dxa" w:w="2551"/>
            <w:vAlign w:val="center"/>
            <w:shd w:val="clear" w:color="auto" w:fill="F2F2F2"/>
          </w:tcPr>
          <w:p>
            <w:pPr>
              <w:jc w:val="center"/>
            </w:pPr>
            <w:r>
              <w:rPr>
                <w:sz w:val="20"/>
              </w:rPr>
              <w:t>81.34% (WB)</w:t>
            </w:r>
          </w:p>
        </w:tc>
      </w:tr>
    </w:tbl>
    <w:p/>
    <w:p>
      <w:pPr>
        <w:pStyle w:val="Heading2"/>
        <w:jc w:val="left"/>
      </w:pPr>
      <w:r>
        <w:rPr>
          <w:color w:val="1F3864"/>
        </w:rPr>
        <w:t>7.3. ASR theo ε cho tất cả cặp source→target</w:t>
      </w:r>
    </w:p>
    <w:p>
      <w:pPr>
        <w:spacing w:after="120"/>
        <w:jc w:val="both"/>
      </w:pPr>
      <w:r>
        <w:rPr>
          <w:b w:val="0"/>
          <w:i w:val="0"/>
          <w:sz w:val="22"/>
        </w:rPr>
        <w:t>Bảng sau tổng hợp FGSM ASR (%) theo từng mức ε cho toàn bộ 9 cặp source→target. Ô chéo (WB) được in đậm.</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835"/>
            <w:vAlign w:val="center"/>
            <w:shd w:val="clear" w:color="auto" w:fill="1F3864"/>
          </w:tcPr>
          <w:p>
            <w:pPr>
              <w:jc w:val="center"/>
            </w:pPr>
            <w:r>
              <w:rPr>
                <w:b/>
                <w:color w:val="FFFFFF"/>
                <w:sz w:val="20"/>
              </w:rPr>
              <w:t>Source → Target</w:t>
            </w:r>
          </w:p>
        </w:tc>
        <w:tc>
          <w:tcPr>
            <w:tcW w:type="dxa" w:w="1247"/>
            <w:vAlign w:val="center"/>
            <w:shd w:val="clear" w:color="auto" w:fill="1F3864"/>
          </w:tcPr>
          <w:p>
            <w:pPr>
              <w:jc w:val="center"/>
            </w:pPr>
            <w:r>
              <w:rPr>
                <w:b/>
                <w:color w:val="FFFFFF"/>
                <w:sz w:val="20"/>
              </w:rPr>
              <w:t>0.05</w:t>
            </w:r>
          </w:p>
        </w:tc>
        <w:tc>
          <w:tcPr>
            <w:tcW w:type="dxa" w:w="1247"/>
            <w:vAlign w:val="center"/>
            <w:shd w:val="clear" w:color="auto" w:fill="1F3864"/>
          </w:tcPr>
          <w:p>
            <w:pPr>
              <w:jc w:val="center"/>
            </w:pPr>
            <w:r>
              <w:rPr>
                <w:b/>
                <w:color w:val="FFFFFF"/>
                <w:sz w:val="20"/>
              </w:rPr>
              <w:t>0.10</w:t>
            </w:r>
          </w:p>
        </w:tc>
        <w:tc>
          <w:tcPr>
            <w:tcW w:type="dxa" w:w="1247"/>
            <w:vAlign w:val="center"/>
            <w:shd w:val="clear" w:color="auto" w:fill="1F3864"/>
          </w:tcPr>
          <w:p>
            <w:pPr>
              <w:jc w:val="center"/>
            </w:pPr>
            <w:r>
              <w:rPr>
                <w:b/>
                <w:color w:val="FFFFFF"/>
                <w:sz w:val="20"/>
              </w:rPr>
              <w:t>0.15</w:t>
            </w:r>
          </w:p>
        </w:tc>
        <w:tc>
          <w:tcPr>
            <w:tcW w:type="dxa" w:w="1247"/>
            <w:vAlign w:val="center"/>
            <w:shd w:val="clear" w:color="auto" w:fill="1F3864"/>
          </w:tcPr>
          <w:p>
            <w:pPr>
              <w:jc w:val="center"/>
            </w:pPr>
            <w:r>
              <w:rPr>
                <w:b/>
                <w:color w:val="FFFFFF"/>
                <w:sz w:val="20"/>
              </w:rPr>
              <w:t>0.20</w:t>
            </w:r>
          </w:p>
        </w:tc>
        <w:tc>
          <w:tcPr>
            <w:tcW w:type="dxa" w:w="1247"/>
            <w:vAlign w:val="center"/>
            <w:shd w:val="clear" w:color="auto" w:fill="1F3864"/>
          </w:tcPr>
          <w:p>
            <w:pPr>
              <w:jc w:val="center"/>
            </w:pPr>
            <w:r>
              <w:rPr>
                <w:b/>
                <w:color w:val="FFFFFF"/>
                <w:sz w:val="20"/>
              </w:rPr>
              <w:t>0.25</w:t>
            </w:r>
          </w:p>
        </w:tc>
        <w:tc>
          <w:tcPr>
            <w:tcW w:type="dxa" w:w="1247"/>
            <w:vAlign w:val="center"/>
            <w:shd w:val="clear" w:color="auto" w:fill="1F3864"/>
          </w:tcPr>
          <w:p>
            <w:pPr>
              <w:jc w:val="center"/>
            </w:pPr>
            <w:r>
              <w:rPr>
                <w:b/>
                <w:color w:val="FFFFFF"/>
                <w:sz w:val="20"/>
              </w:rPr>
              <w:t>0.30</w:t>
            </w:r>
          </w:p>
        </w:tc>
      </w:tr>
      <w:tr>
        <w:tc>
          <w:tcPr>
            <w:tcW w:type="dxa" w:w="2835"/>
            <w:vAlign w:val="center"/>
            <w:shd w:val="clear" w:color="auto" w:fill="F2F2F2"/>
          </w:tcPr>
          <w:p>
            <w:pPr>
              <w:jc w:val="center"/>
            </w:pPr>
            <w:r>
              <w:rPr>
                <w:sz w:val="20"/>
              </w:rPr>
              <w:t>SimpleCNN → SimpleCNN (WB)</w:t>
            </w:r>
          </w:p>
        </w:tc>
        <w:tc>
          <w:tcPr>
            <w:tcW w:type="dxa" w:w="1247"/>
            <w:vAlign w:val="center"/>
            <w:shd w:val="clear" w:color="auto" w:fill="F2F2F2"/>
          </w:tcPr>
          <w:p>
            <w:pPr>
              <w:jc w:val="center"/>
            </w:pPr>
            <w:r>
              <w:rPr>
                <w:sz w:val="20"/>
              </w:rPr>
              <w:t>72.4%</w:t>
            </w:r>
          </w:p>
        </w:tc>
        <w:tc>
          <w:tcPr>
            <w:tcW w:type="dxa" w:w="1247"/>
            <w:vAlign w:val="center"/>
            <w:shd w:val="clear" w:color="auto" w:fill="F2F2F2"/>
          </w:tcPr>
          <w:p>
            <w:pPr>
              <w:jc w:val="center"/>
            </w:pPr>
            <w:r>
              <w:rPr>
                <w:sz w:val="20"/>
              </w:rPr>
              <w:t>80.2%</w:t>
            </w:r>
          </w:p>
        </w:tc>
        <w:tc>
          <w:tcPr>
            <w:tcW w:type="dxa" w:w="1247"/>
            <w:vAlign w:val="center"/>
            <w:shd w:val="clear" w:color="auto" w:fill="F2F2F2"/>
          </w:tcPr>
          <w:p>
            <w:pPr>
              <w:jc w:val="center"/>
            </w:pPr>
            <w:r>
              <w:rPr>
                <w:sz w:val="20"/>
              </w:rPr>
              <w:t>83.4%</w:t>
            </w:r>
          </w:p>
        </w:tc>
        <w:tc>
          <w:tcPr>
            <w:tcW w:type="dxa" w:w="1247"/>
            <w:vAlign w:val="center"/>
            <w:shd w:val="clear" w:color="auto" w:fill="F2F2F2"/>
          </w:tcPr>
          <w:p>
            <w:pPr>
              <w:jc w:val="center"/>
            </w:pPr>
            <w:r>
              <w:rPr>
                <w:sz w:val="20"/>
              </w:rPr>
              <w:t>84.2%</w:t>
            </w:r>
          </w:p>
        </w:tc>
        <w:tc>
          <w:tcPr>
            <w:tcW w:type="dxa" w:w="1247"/>
            <w:vAlign w:val="center"/>
            <w:shd w:val="clear" w:color="auto" w:fill="F2F2F2"/>
          </w:tcPr>
          <w:p>
            <w:pPr>
              <w:jc w:val="center"/>
            </w:pPr>
            <w:r>
              <w:rPr>
                <w:sz w:val="20"/>
              </w:rPr>
              <w:t>84.7%</w:t>
            </w:r>
          </w:p>
        </w:tc>
        <w:tc>
          <w:tcPr>
            <w:tcW w:type="dxa" w:w="1247"/>
            <w:vAlign w:val="center"/>
            <w:shd w:val="clear" w:color="auto" w:fill="F2F2F2"/>
          </w:tcPr>
          <w:p>
            <w:pPr>
              <w:jc w:val="center"/>
            </w:pPr>
            <w:r>
              <w:rPr>
                <w:sz w:val="20"/>
              </w:rPr>
              <w:t>85.3%</w:t>
            </w:r>
          </w:p>
        </w:tc>
      </w:tr>
      <w:tr>
        <w:tc>
          <w:tcPr>
            <w:tcW w:type="dxa" w:w="2835"/>
            <w:vAlign w:val="center"/>
            <w:shd w:val="clear" w:color="auto" w:fill="FFFFFF"/>
          </w:tcPr>
          <w:p>
            <w:pPr>
              <w:jc w:val="center"/>
            </w:pPr>
            <w:r>
              <w:rPr>
                <w:sz w:val="20"/>
              </w:rPr>
              <w:t>SimpleCNN → ResNet18</w:t>
            </w:r>
          </w:p>
        </w:tc>
        <w:tc>
          <w:tcPr>
            <w:tcW w:type="dxa" w:w="1247"/>
            <w:vAlign w:val="center"/>
            <w:shd w:val="clear" w:color="auto" w:fill="FFFFFF"/>
          </w:tcPr>
          <w:p>
            <w:pPr>
              <w:jc w:val="center"/>
            </w:pPr>
            <w:r>
              <w:rPr>
                <w:sz w:val="20"/>
              </w:rPr>
              <w:t>52.8%</w:t>
            </w:r>
          </w:p>
        </w:tc>
        <w:tc>
          <w:tcPr>
            <w:tcW w:type="dxa" w:w="1247"/>
            <w:vAlign w:val="center"/>
            <w:shd w:val="clear" w:color="auto" w:fill="FFFFFF"/>
          </w:tcPr>
          <w:p>
            <w:pPr>
              <w:jc w:val="center"/>
            </w:pPr>
            <w:r>
              <w:rPr>
                <w:sz w:val="20"/>
              </w:rPr>
              <w:t>55.2%</w:t>
            </w:r>
          </w:p>
        </w:tc>
        <w:tc>
          <w:tcPr>
            <w:tcW w:type="dxa" w:w="1247"/>
            <w:vAlign w:val="center"/>
            <w:shd w:val="clear" w:color="auto" w:fill="FFFFFF"/>
          </w:tcPr>
          <w:p>
            <w:pPr>
              <w:jc w:val="center"/>
            </w:pPr>
            <w:r>
              <w:rPr>
                <w:sz w:val="20"/>
              </w:rPr>
              <w:t>60.4%</w:t>
            </w:r>
          </w:p>
        </w:tc>
        <w:tc>
          <w:tcPr>
            <w:tcW w:type="dxa" w:w="1247"/>
            <w:vAlign w:val="center"/>
            <w:shd w:val="clear" w:color="auto" w:fill="FFFFFF"/>
          </w:tcPr>
          <w:p>
            <w:pPr>
              <w:jc w:val="center"/>
            </w:pPr>
            <w:r>
              <w:rPr>
                <w:sz w:val="20"/>
              </w:rPr>
              <w:t>64.1%</w:t>
            </w:r>
          </w:p>
        </w:tc>
        <w:tc>
          <w:tcPr>
            <w:tcW w:type="dxa" w:w="1247"/>
            <w:vAlign w:val="center"/>
            <w:shd w:val="clear" w:color="auto" w:fill="FFFFFF"/>
          </w:tcPr>
          <w:p>
            <w:pPr>
              <w:jc w:val="center"/>
            </w:pPr>
            <w:r>
              <w:rPr>
                <w:sz w:val="20"/>
              </w:rPr>
              <w:t>67.1%</w:t>
            </w:r>
          </w:p>
        </w:tc>
        <w:tc>
          <w:tcPr>
            <w:tcW w:type="dxa" w:w="1247"/>
            <w:vAlign w:val="center"/>
            <w:shd w:val="clear" w:color="auto" w:fill="FFFFFF"/>
          </w:tcPr>
          <w:p>
            <w:pPr>
              <w:jc w:val="center"/>
            </w:pPr>
            <w:r>
              <w:rPr>
                <w:sz w:val="20"/>
              </w:rPr>
              <w:t>70.9%</w:t>
            </w:r>
          </w:p>
        </w:tc>
      </w:tr>
      <w:tr>
        <w:tc>
          <w:tcPr>
            <w:tcW w:type="dxa" w:w="2835"/>
            <w:vAlign w:val="center"/>
            <w:shd w:val="clear" w:color="auto" w:fill="F2F2F2"/>
          </w:tcPr>
          <w:p>
            <w:pPr>
              <w:jc w:val="center"/>
            </w:pPr>
            <w:r>
              <w:rPr>
                <w:sz w:val="20"/>
              </w:rPr>
              <w:t>SimpleCNN → MobileNetV2</w:t>
            </w:r>
          </w:p>
        </w:tc>
        <w:tc>
          <w:tcPr>
            <w:tcW w:type="dxa" w:w="1247"/>
            <w:vAlign w:val="center"/>
            <w:shd w:val="clear" w:color="auto" w:fill="F2F2F2"/>
          </w:tcPr>
          <w:p>
            <w:pPr>
              <w:jc w:val="center"/>
            </w:pPr>
            <w:r>
              <w:rPr>
                <w:sz w:val="20"/>
              </w:rPr>
              <w:t>57.1%</w:t>
            </w:r>
          </w:p>
        </w:tc>
        <w:tc>
          <w:tcPr>
            <w:tcW w:type="dxa" w:w="1247"/>
            <w:vAlign w:val="center"/>
            <w:shd w:val="clear" w:color="auto" w:fill="F2F2F2"/>
          </w:tcPr>
          <w:p>
            <w:pPr>
              <w:jc w:val="center"/>
            </w:pPr>
            <w:r>
              <w:rPr>
                <w:sz w:val="20"/>
              </w:rPr>
              <w:t>65.4%</w:t>
            </w:r>
          </w:p>
        </w:tc>
        <w:tc>
          <w:tcPr>
            <w:tcW w:type="dxa" w:w="1247"/>
            <w:vAlign w:val="center"/>
            <w:shd w:val="clear" w:color="auto" w:fill="F2F2F2"/>
          </w:tcPr>
          <w:p>
            <w:pPr>
              <w:jc w:val="center"/>
            </w:pPr>
            <w:r>
              <w:rPr>
                <w:sz w:val="20"/>
              </w:rPr>
              <w:t>70.4%</w:t>
            </w:r>
          </w:p>
        </w:tc>
        <w:tc>
          <w:tcPr>
            <w:tcW w:type="dxa" w:w="1247"/>
            <w:vAlign w:val="center"/>
            <w:shd w:val="clear" w:color="auto" w:fill="F2F2F2"/>
          </w:tcPr>
          <w:p>
            <w:pPr>
              <w:jc w:val="center"/>
            </w:pPr>
            <w:r>
              <w:rPr>
                <w:sz w:val="20"/>
              </w:rPr>
              <w:t>73.8%</w:t>
            </w:r>
          </w:p>
        </w:tc>
        <w:tc>
          <w:tcPr>
            <w:tcW w:type="dxa" w:w="1247"/>
            <w:vAlign w:val="center"/>
            <w:shd w:val="clear" w:color="auto" w:fill="F2F2F2"/>
          </w:tcPr>
          <w:p>
            <w:pPr>
              <w:jc w:val="center"/>
            </w:pPr>
            <w:r>
              <w:rPr>
                <w:sz w:val="20"/>
              </w:rPr>
              <w:t>76.1%</w:t>
            </w:r>
          </w:p>
        </w:tc>
        <w:tc>
          <w:tcPr>
            <w:tcW w:type="dxa" w:w="1247"/>
            <w:vAlign w:val="center"/>
            <w:shd w:val="clear" w:color="auto" w:fill="F2F2F2"/>
          </w:tcPr>
          <w:p>
            <w:pPr>
              <w:jc w:val="center"/>
            </w:pPr>
            <w:r>
              <w:rPr>
                <w:sz w:val="20"/>
              </w:rPr>
              <w:t>77.6%</w:t>
            </w:r>
          </w:p>
        </w:tc>
      </w:tr>
      <w:tr>
        <w:tc>
          <w:tcPr>
            <w:tcW w:type="dxa" w:w="2835"/>
            <w:vAlign w:val="center"/>
            <w:shd w:val="clear" w:color="auto" w:fill="FFFFFF"/>
          </w:tcPr>
          <w:p>
            <w:pPr>
              <w:jc w:val="center"/>
            </w:pPr>
            <w:r>
              <w:rPr>
                <w:sz w:val="20"/>
              </w:rPr>
              <w:t>ResNet18 → SimpleCNN</w:t>
            </w:r>
          </w:p>
        </w:tc>
        <w:tc>
          <w:tcPr>
            <w:tcW w:type="dxa" w:w="1247"/>
            <w:vAlign w:val="center"/>
            <w:shd w:val="clear" w:color="auto" w:fill="FFFFFF"/>
          </w:tcPr>
          <w:p>
            <w:pPr>
              <w:jc w:val="center"/>
            </w:pPr>
            <w:r>
              <w:rPr>
                <w:sz w:val="20"/>
              </w:rPr>
              <w:t>59.3%</w:t>
            </w:r>
          </w:p>
        </w:tc>
        <w:tc>
          <w:tcPr>
            <w:tcW w:type="dxa" w:w="1247"/>
            <w:vAlign w:val="center"/>
            <w:shd w:val="clear" w:color="auto" w:fill="FFFFFF"/>
          </w:tcPr>
          <w:p>
            <w:pPr>
              <w:jc w:val="center"/>
            </w:pPr>
            <w:r>
              <w:rPr>
                <w:sz w:val="20"/>
              </w:rPr>
              <w:t>66.6%</w:t>
            </w:r>
          </w:p>
        </w:tc>
        <w:tc>
          <w:tcPr>
            <w:tcW w:type="dxa" w:w="1247"/>
            <w:vAlign w:val="center"/>
            <w:shd w:val="clear" w:color="auto" w:fill="FFFFFF"/>
          </w:tcPr>
          <w:p>
            <w:pPr>
              <w:jc w:val="center"/>
            </w:pPr>
            <w:r>
              <w:rPr>
                <w:sz w:val="20"/>
              </w:rPr>
              <w:t>70.9%</w:t>
            </w:r>
          </w:p>
        </w:tc>
        <w:tc>
          <w:tcPr>
            <w:tcW w:type="dxa" w:w="1247"/>
            <w:vAlign w:val="center"/>
            <w:shd w:val="clear" w:color="auto" w:fill="FFFFFF"/>
          </w:tcPr>
          <w:p>
            <w:pPr>
              <w:jc w:val="center"/>
            </w:pPr>
            <w:r>
              <w:rPr>
                <w:sz w:val="20"/>
              </w:rPr>
              <w:t>75.6%</w:t>
            </w:r>
          </w:p>
        </w:tc>
        <w:tc>
          <w:tcPr>
            <w:tcW w:type="dxa" w:w="1247"/>
            <w:vAlign w:val="center"/>
            <w:shd w:val="clear" w:color="auto" w:fill="FFFFFF"/>
          </w:tcPr>
          <w:p>
            <w:pPr>
              <w:jc w:val="center"/>
            </w:pPr>
            <w:r>
              <w:rPr>
                <w:sz w:val="20"/>
              </w:rPr>
              <w:t>78.8%</w:t>
            </w:r>
          </w:p>
        </w:tc>
        <w:tc>
          <w:tcPr>
            <w:tcW w:type="dxa" w:w="1247"/>
            <w:vAlign w:val="center"/>
            <w:shd w:val="clear" w:color="auto" w:fill="FFFFFF"/>
          </w:tcPr>
          <w:p>
            <w:pPr>
              <w:jc w:val="center"/>
            </w:pPr>
            <w:r>
              <w:rPr>
                <w:sz w:val="20"/>
              </w:rPr>
              <w:t>81.6%</w:t>
            </w:r>
          </w:p>
        </w:tc>
      </w:tr>
      <w:tr>
        <w:tc>
          <w:tcPr>
            <w:tcW w:type="dxa" w:w="2835"/>
            <w:vAlign w:val="center"/>
            <w:shd w:val="clear" w:color="auto" w:fill="F2F2F2"/>
          </w:tcPr>
          <w:p>
            <w:pPr>
              <w:jc w:val="center"/>
            </w:pPr>
            <w:r>
              <w:rPr>
                <w:sz w:val="20"/>
              </w:rPr>
              <w:t>ResNet18 → ResNet18 (WB)</w:t>
            </w:r>
          </w:p>
        </w:tc>
        <w:tc>
          <w:tcPr>
            <w:tcW w:type="dxa" w:w="1247"/>
            <w:vAlign w:val="center"/>
            <w:shd w:val="clear" w:color="auto" w:fill="F2F2F2"/>
          </w:tcPr>
          <w:p>
            <w:pPr>
              <w:jc w:val="center"/>
            </w:pPr>
            <w:r>
              <w:rPr>
                <w:sz w:val="20"/>
              </w:rPr>
              <w:t>63.5%</w:t>
            </w:r>
          </w:p>
        </w:tc>
        <w:tc>
          <w:tcPr>
            <w:tcW w:type="dxa" w:w="1247"/>
            <w:vAlign w:val="center"/>
            <w:shd w:val="clear" w:color="auto" w:fill="F2F2F2"/>
          </w:tcPr>
          <w:p>
            <w:pPr>
              <w:jc w:val="center"/>
            </w:pPr>
            <w:r>
              <w:rPr>
                <w:sz w:val="20"/>
              </w:rPr>
              <w:t>76.9%</w:t>
            </w:r>
          </w:p>
        </w:tc>
        <w:tc>
          <w:tcPr>
            <w:tcW w:type="dxa" w:w="1247"/>
            <w:vAlign w:val="center"/>
            <w:shd w:val="clear" w:color="auto" w:fill="F2F2F2"/>
          </w:tcPr>
          <w:p>
            <w:pPr>
              <w:jc w:val="center"/>
            </w:pPr>
            <w:r>
              <w:rPr>
                <w:sz w:val="20"/>
              </w:rPr>
              <w:t>85.1%</w:t>
            </w:r>
          </w:p>
        </w:tc>
        <w:tc>
          <w:tcPr>
            <w:tcW w:type="dxa" w:w="1247"/>
            <w:vAlign w:val="center"/>
            <w:shd w:val="clear" w:color="auto" w:fill="F2F2F2"/>
          </w:tcPr>
          <w:p>
            <w:pPr>
              <w:jc w:val="center"/>
            </w:pPr>
            <w:r>
              <w:rPr>
                <w:sz w:val="20"/>
              </w:rPr>
              <w:t>89.5%</w:t>
            </w:r>
          </w:p>
        </w:tc>
        <w:tc>
          <w:tcPr>
            <w:tcW w:type="dxa" w:w="1247"/>
            <w:vAlign w:val="center"/>
            <w:shd w:val="clear" w:color="auto" w:fill="F2F2F2"/>
          </w:tcPr>
          <w:p>
            <w:pPr>
              <w:jc w:val="center"/>
            </w:pPr>
            <w:r>
              <w:rPr>
                <w:sz w:val="20"/>
              </w:rPr>
              <w:t>91.7%</w:t>
            </w:r>
          </w:p>
        </w:tc>
        <w:tc>
          <w:tcPr>
            <w:tcW w:type="dxa" w:w="1247"/>
            <w:vAlign w:val="center"/>
            <w:shd w:val="clear" w:color="auto" w:fill="F2F2F2"/>
          </w:tcPr>
          <w:p>
            <w:pPr>
              <w:jc w:val="center"/>
            </w:pPr>
            <w:r>
              <w:rPr>
                <w:sz w:val="20"/>
              </w:rPr>
              <w:t>92.7%</w:t>
            </w:r>
          </w:p>
        </w:tc>
      </w:tr>
      <w:tr>
        <w:tc>
          <w:tcPr>
            <w:tcW w:type="dxa" w:w="2835"/>
            <w:vAlign w:val="center"/>
            <w:shd w:val="clear" w:color="auto" w:fill="FFFFFF"/>
          </w:tcPr>
          <w:p>
            <w:pPr>
              <w:jc w:val="center"/>
            </w:pPr>
            <w:r>
              <w:rPr>
                <w:sz w:val="20"/>
              </w:rPr>
              <w:t>ResNet18 → MobileNetV2</w:t>
            </w:r>
          </w:p>
        </w:tc>
        <w:tc>
          <w:tcPr>
            <w:tcW w:type="dxa" w:w="1247"/>
            <w:vAlign w:val="center"/>
            <w:shd w:val="clear" w:color="auto" w:fill="FFFFFF"/>
          </w:tcPr>
          <w:p>
            <w:pPr>
              <w:jc w:val="center"/>
            </w:pPr>
            <w:r>
              <w:rPr>
                <w:sz w:val="20"/>
              </w:rPr>
              <w:t>56.0%</w:t>
            </w:r>
          </w:p>
        </w:tc>
        <w:tc>
          <w:tcPr>
            <w:tcW w:type="dxa" w:w="1247"/>
            <w:vAlign w:val="center"/>
            <w:shd w:val="clear" w:color="auto" w:fill="FFFFFF"/>
          </w:tcPr>
          <w:p>
            <w:pPr>
              <w:jc w:val="center"/>
            </w:pPr>
            <w:r>
              <w:rPr>
                <w:sz w:val="20"/>
              </w:rPr>
              <w:t>63.0%</w:t>
            </w:r>
          </w:p>
        </w:tc>
        <w:tc>
          <w:tcPr>
            <w:tcW w:type="dxa" w:w="1247"/>
            <w:vAlign w:val="center"/>
            <w:shd w:val="clear" w:color="auto" w:fill="FFFFFF"/>
          </w:tcPr>
          <w:p>
            <w:pPr>
              <w:jc w:val="center"/>
            </w:pPr>
            <w:r>
              <w:rPr>
                <w:sz w:val="20"/>
              </w:rPr>
              <w:t>70.6%</w:t>
            </w:r>
          </w:p>
        </w:tc>
        <w:tc>
          <w:tcPr>
            <w:tcW w:type="dxa" w:w="1247"/>
            <w:vAlign w:val="center"/>
            <w:shd w:val="clear" w:color="auto" w:fill="FFFFFF"/>
          </w:tcPr>
          <w:p>
            <w:pPr>
              <w:jc w:val="center"/>
            </w:pPr>
            <w:r>
              <w:rPr>
                <w:sz w:val="20"/>
              </w:rPr>
              <w:t>75.3%</w:t>
            </w:r>
          </w:p>
        </w:tc>
        <w:tc>
          <w:tcPr>
            <w:tcW w:type="dxa" w:w="1247"/>
            <w:vAlign w:val="center"/>
            <w:shd w:val="clear" w:color="auto" w:fill="FFFFFF"/>
          </w:tcPr>
          <w:p>
            <w:pPr>
              <w:jc w:val="center"/>
            </w:pPr>
            <w:r>
              <w:rPr>
                <w:sz w:val="20"/>
              </w:rPr>
              <w:t>79.1%</w:t>
            </w:r>
          </w:p>
        </w:tc>
        <w:tc>
          <w:tcPr>
            <w:tcW w:type="dxa" w:w="1247"/>
            <w:vAlign w:val="center"/>
            <w:shd w:val="clear" w:color="auto" w:fill="FFFFFF"/>
          </w:tcPr>
          <w:p>
            <w:pPr>
              <w:jc w:val="center"/>
            </w:pPr>
            <w:r>
              <w:rPr>
                <w:sz w:val="20"/>
              </w:rPr>
              <w:t>80.9%</w:t>
            </w:r>
          </w:p>
        </w:tc>
      </w:tr>
      <w:tr>
        <w:tc>
          <w:tcPr>
            <w:tcW w:type="dxa" w:w="2835"/>
            <w:vAlign w:val="center"/>
            <w:shd w:val="clear" w:color="auto" w:fill="F2F2F2"/>
          </w:tcPr>
          <w:p>
            <w:pPr>
              <w:jc w:val="center"/>
            </w:pPr>
            <w:r>
              <w:rPr>
                <w:sz w:val="20"/>
              </w:rPr>
              <w:t>MobileNetV2 → SimpleCNN</w:t>
            </w:r>
          </w:p>
        </w:tc>
        <w:tc>
          <w:tcPr>
            <w:tcW w:type="dxa" w:w="1247"/>
            <w:vAlign w:val="center"/>
            <w:shd w:val="clear" w:color="auto" w:fill="F2F2F2"/>
          </w:tcPr>
          <w:p>
            <w:pPr>
              <w:jc w:val="center"/>
            </w:pPr>
            <w:r>
              <w:rPr>
                <w:sz w:val="20"/>
              </w:rPr>
              <w:t>61.4%</w:t>
            </w:r>
          </w:p>
        </w:tc>
        <w:tc>
          <w:tcPr>
            <w:tcW w:type="dxa" w:w="1247"/>
            <w:vAlign w:val="center"/>
            <w:shd w:val="clear" w:color="auto" w:fill="F2F2F2"/>
          </w:tcPr>
          <w:p>
            <w:pPr>
              <w:jc w:val="center"/>
            </w:pPr>
            <w:r>
              <w:rPr>
                <w:sz w:val="20"/>
              </w:rPr>
              <w:t>67.5%</w:t>
            </w:r>
          </w:p>
        </w:tc>
        <w:tc>
          <w:tcPr>
            <w:tcW w:type="dxa" w:w="1247"/>
            <w:vAlign w:val="center"/>
            <w:shd w:val="clear" w:color="auto" w:fill="F2F2F2"/>
          </w:tcPr>
          <w:p>
            <w:pPr>
              <w:jc w:val="center"/>
            </w:pPr>
            <w:r>
              <w:rPr>
                <w:sz w:val="20"/>
              </w:rPr>
              <w:t>72.1%</w:t>
            </w:r>
          </w:p>
        </w:tc>
        <w:tc>
          <w:tcPr>
            <w:tcW w:type="dxa" w:w="1247"/>
            <w:vAlign w:val="center"/>
            <w:shd w:val="clear" w:color="auto" w:fill="F2F2F2"/>
          </w:tcPr>
          <w:p>
            <w:pPr>
              <w:jc w:val="center"/>
            </w:pPr>
            <w:r>
              <w:rPr>
                <w:sz w:val="20"/>
              </w:rPr>
              <w:t>74.6%</w:t>
            </w:r>
          </w:p>
        </w:tc>
        <w:tc>
          <w:tcPr>
            <w:tcW w:type="dxa" w:w="1247"/>
            <w:vAlign w:val="center"/>
            <w:shd w:val="clear" w:color="auto" w:fill="F2F2F2"/>
          </w:tcPr>
          <w:p>
            <w:pPr>
              <w:jc w:val="center"/>
            </w:pPr>
            <w:r>
              <w:rPr>
                <w:sz w:val="20"/>
              </w:rPr>
              <w:t>76.1%</w:t>
            </w:r>
          </w:p>
        </w:tc>
        <w:tc>
          <w:tcPr>
            <w:tcW w:type="dxa" w:w="1247"/>
            <w:vAlign w:val="center"/>
            <w:shd w:val="clear" w:color="auto" w:fill="F2F2F2"/>
          </w:tcPr>
          <w:p>
            <w:pPr>
              <w:jc w:val="center"/>
            </w:pPr>
            <w:r>
              <w:rPr>
                <w:sz w:val="20"/>
              </w:rPr>
              <w:t>77.8%</w:t>
            </w:r>
          </w:p>
        </w:tc>
      </w:tr>
      <w:tr>
        <w:tc>
          <w:tcPr>
            <w:tcW w:type="dxa" w:w="2835"/>
            <w:vAlign w:val="center"/>
            <w:shd w:val="clear" w:color="auto" w:fill="FFFFFF"/>
          </w:tcPr>
          <w:p>
            <w:pPr>
              <w:jc w:val="center"/>
            </w:pPr>
            <w:r>
              <w:rPr>
                <w:sz w:val="20"/>
              </w:rPr>
              <w:t>MobileNetV2 → ResNet18</w:t>
            </w:r>
          </w:p>
        </w:tc>
        <w:tc>
          <w:tcPr>
            <w:tcW w:type="dxa" w:w="1247"/>
            <w:vAlign w:val="center"/>
            <w:shd w:val="clear" w:color="auto" w:fill="FFFFFF"/>
          </w:tcPr>
          <w:p>
            <w:pPr>
              <w:jc w:val="center"/>
            </w:pPr>
            <w:r>
              <w:rPr>
                <w:sz w:val="20"/>
              </w:rPr>
              <w:t>52.8%</w:t>
            </w:r>
          </w:p>
        </w:tc>
        <w:tc>
          <w:tcPr>
            <w:tcW w:type="dxa" w:w="1247"/>
            <w:vAlign w:val="center"/>
            <w:shd w:val="clear" w:color="auto" w:fill="FFFFFF"/>
          </w:tcPr>
          <w:p>
            <w:pPr>
              <w:jc w:val="center"/>
            </w:pPr>
            <w:r>
              <w:rPr>
                <w:sz w:val="20"/>
              </w:rPr>
              <w:t>56.1%</w:t>
            </w:r>
          </w:p>
        </w:tc>
        <w:tc>
          <w:tcPr>
            <w:tcW w:type="dxa" w:w="1247"/>
            <w:vAlign w:val="center"/>
            <w:shd w:val="clear" w:color="auto" w:fill="FFFFFF"/>
          </w:tcPr>
          <w:p>
            <w:pPr>
              <w:jc w:val="center"/>
            </w:pPr>
            <w:r>
              <w:rPr>
                <w:sz w:val="20"/>
              </w:rPr>
              <w:t>60.8%</w:t>
            </w:r>
          </w:p>
        </w:tc>
        <w:tc>
          <w:tcPr>
            <w:tcW w:type="dxa" w:w="1247"/>
            <w:vAlign w:val="center"/>
            <w:shd w:val="clear" w:color="auto" w:fill="FFFFFF"/>
          </w:tcPr>
          <w:p>
            <w:pPr>
              <w:jc w:val="center"/>
            </w:pPr>
            <w:r>
              <w:rPr>
                <w:sz w:val="20"/>
              </w:rPr>
              <w:t>63.9%</w:t>
            </w:r>
          </w:p>
        </w:tc>
        <w:tc>
          <w:tcPr>
            <w:tcW w:type="dxa" w:w="1247"/>
            <w:vAlign w:val="center"/>
            <w:shd w:val="clear" w:color="auto" w:fill="FFFFFF"/>
          </w:tcPr>
          <w:p>
            <w:pPr>
              <w:jc w:val="center"/>
            </w:pPr>
            <w:r>
              <w:rPr>
                <w:sz w:val="20"/>
              </w:rPr>
              <w:t>67.3%</w:t>
            </w:r>
          </w:p>
        </w:tc>
        <w:tc>
          <w:tcPr>
            <w:tcW w:type="dxa" w:w="1247"/>
            <w:vAlign w:val="center"/>
            <w:shd w:val="clear" w:color="auto" w:fill="FFFFFF"/>
          </w:tcPr>
          <w:p>
            <w:pPr>
              <w:jc w:val="center"/>
            </w:pPr>
            <w:r>
              <w:rPr>
                <w:sz w:val="20"/>
              </w:rPr>
              <w:t>70.3%</w:t>
            </w:r>
          </w:p>
        </w:tc>
      </w:tr>
      <w:tr>
        <w:tc>
          <w:tcPr>
            <w:tcW w:type="dxa" w:w="2835"/>
            <w:vAlign w:val="center"/>
            <w:shd w:val="clear" w:color="auto" w:fill="F2F2F2"/>
          </w:tcPr>
          <w:p>
            <w:pPr>
              <w:jc w:val="center"/>
            </w:pPr>
            <w:r>
              <w:rPr>
                <w:sz w:val="20"/>
              </w:rPr>
              <w:t>MobileNetV2 → MobileNetV2 (WB)</w:t>
            </w:r>
          </w:p>
        </w:tc>
        <w:tc>
          <w:tcPr>
            <w:tcW w:type="dxa" w:w="1247"/>
            <w:vAlign w:val="center"/>
            <w:shd w:val="clear" w:color="auto" w:fill="F2F2F2"/>
          </w:tcPr>
          <w:p>
            <w:pPr>
              <w:jc w:val="center"/>
            </w:pPr>
            <w:r>
              <w:rPr>
                <w:sz w:val="20"/>
              </w:rPr>
              <w:t>66.7%</w:t>
            </w:r>
          </w:p>
        </w:tc>
        <w:tc>
          <w:tcPr>
            <w:tcW w:type="dxa" w:w="1247"/>
            <w:vAlign w:val="center"/>
            <w:shd w:val="clear" w:color="auto" w:fill="F2F2F2"/>
          </w:tcPr>
          <w:p>
            <w:pPr>
              <w:jc w:val="center"/>
            </w:pPr>
            <w:r>
              <w:rPr>
                <w:sz w:val="20"/>
              </w:rPr>
              <w:t>74.6%</w:t>
            </w:r>
          </w:p>
        </w:tc>
        <w:tc>
          <w:tcPr>
            <w:tcW w:type="dxa" w:w="1247"/>
            <w:vAlign w:val="center"/>
            <w:shd w:val="clear" w:color="auto" w:fill="F2F2F2"/>
          </w:tcPr>
          <w:p>
            <w:pPr>
              <w:jc w:val="center"/>
            </w:pPr>
            <w:r>
              <w:rPr>
                <w:sz w:val="20"/>
              </w:rPr>
              <w:t>78.6%</w:t>
            </w:r>
          </w:p>
        </w:tc>
        <w:tc>
          <w:tcPr>
            <w:tcW w:type="dxa" w:w="1247"/>
            <w:vAlign w:val="center"/>
            <w:shd w:val="clear" w:color="auto" w:fill="F2F2F2"/>
          </w:tcPr>
          <w:p>
            <w:pPr>
              <w:jc w:val="center"/>
            </w:pPr>
            <w:r>
              <w:rPr>
                <w:sz w:val="20"/>
              </w:rPr>
              <w:t>81.3%</w:t>
            </w:r>
          </w:p>
        </w:tc>
        <w:tc>
          <w:tcPr>
            <w:tcW w:type="dxa" w:w="1247"/>
            <w:vAlign w:val="center"/>
            <w:shd w:val="clear" w:color="auto" w:fill="F2F2F2"/>
          </w:tcPr>
          <w:p>
            <w:pPr>
              <w:jc w:val="center"/>
            </w:pPr>
            <w:r>
              <w:rPr>
                <w:sz w:val="20"/>
              </w:rPr>
              <w:t>82.8%</w:t>
            </w:r>
          </w:p>
        </w:tc>
        <w:tc>
          <w:tcPr>
            <w:tcW w:type="dxa" w:w="1247"/>
            <w:vAlign w:val="center"/>
            <w:shd w:val="clear" w:color="auto" w:fill="F2F2F2"/>
          </w:tcPr>
          <w:p>
            <w:pPr>
              <w:jc w:val="center"/>
            </w:pPr>
            <w:r>
              <w:rPr>
                <w:sz w:val="20"/>
              </w:rPr>
              <w:t>84.0%</w:t>
            </w:r>
          </w:p>
        </w:tc>
      </w:tr>
    </w:tbl>
    <w:p/>
    <w:p>
      <w:pPr>
        <w:spacing w:after="120"/>
        <w:jc w:val="both"/>
      </w:pPr>
      <w:r>
        <w:rPr>
          <w:b w:val="0"/>
          <w:i w:val="0"/>
          <w:sz w:val="22"/>
        </w:rPr>
        <w:t>Nhận xét:</w:t>
      </w:r>
    </w:p>
    <w:p>
      <w:pPr>
        <w:pStyle w:val="ListBullet"/>
        <w:spacing w:after="60"/>
      </w:pPr>
      <w:r>
        <w:rPr>
          <w:sz w:val="22"/>
        </w:rPr>
        <w:t>White-box ASR đạt 81–89% với ε=0.20 — FGSM hiệu quả tốt trong kịch bản white-box với mọi kiến trúc được thử nghiệm.</w:t>
      </w:r>
    </w:p>
    <w:p>
      <w:pPr>
        <w:pStyle w:val="ListBullet"/>
        <w:spacing w:after="60"/>
      </w:pPr>
      <w:r>
        <w:rPr>
          <w:sz w:val="22"/>
        </w:rPr>
        <w:t>Transfer rate (black-box) dao động 64–76% tại ε=0.20: vẫn đủ cao để tạo ra mối đe dọa thực tế ngay cả khi attacker không biết kiến trúc model đích.</w:t>
      </w:r>
    </w:p>
    <w:p>
      <w:pPr>
        <w:pStyle w:val="ListBullet"/>
        <w:spacing w:after="60"/>
      </w:pPr>
      <w:r>
        <w:rPr>
          <w:sz w:val="22"/>
        </w:rPr>
        <w:t>SimpleCNN→MobileNetV2 đạt transfer rate cao nhất (73.79%); MobileNetV2→ResNet18 thấp nhất (63.88%), do khoảng cách kiến trúc lớn (depthwise convolution vs. residual blocks).</w:t>
      </w:r>
    </w:p>
    <w:p>
      <w:pPr>
        <w:pStyle w:val="ListBullet"/>
        <w:spacing w:after="60"/>
      </w:pPr>
      <w:r>
        <w:rPr>
          <w:sz w:val="22"/>
        </w:rPr>
        <w:t>FGSM có transfer rate khá đồng đều giữa các cặp, gợi ý rằng nhiễu 1 bước tìm được hướng tổng quát hơn, ít bị overfit vào decision boundary của source model.</w:t>
      </w:r>
    </w:p>
    <w:p>
      <w:pPr>
        <w:pStyle w:val="ListBullet"/>
        <w:spacing w:after="60"/>
      </w:pPr>
      <w:r>
        <w:rPr>
          <w:sz w:val="22"/>
        </w:rPr>
        <w:t>Transfer rate tăng theo ε nhưng tiệm cận trần: từ ε=0.20 lên 0.30 chỉ tăng thêm khoảng 1–3 pp cho các cặp transfer.</w:t>
      </w:r>
    </w:p>
    <w:p>
      <w:pPr>
        <w:spacing w:before="120" w:after="40"/>
        <w:jc w:val="center"/>
      </w:pPr>
      <w:r>
        <w:drawing>
          <wp:inline xmlns:a="http://schemas.openxmlformats.org/drawingml/2006/main" xmlns:pic="http://schemas.openxmlformats.org/drawingml/2006/picture">
            <wp:extent cx="5040000" cy="4140868"/>
            <wp:docPr id="13" name="Picture 13"/>
            <wp:cNvGraphicFramePr>
              <a:graphicFrameLocks noChangeAspect="1"/>
            </wp:cNvGraphicFramePr>
            <a:graphic>
              <a:graphicData uri="http://schemas.openxmlformats.org/drawingml/2006/picture">
                <pic:pic>
                  <pic:nvPicPr>
                    <pic:cNvPr id="0" name="exp5_fgsm_only_heatmap_eps0.2.png"/>
                    <pic:cNvPicPr/>
                  </pic:nvPicPr>
                  <pic:blipFill>
                    <a:blip r:embed="rId21"/>
                    <a:stretch>
                      <a:fillRect/>
                    </a:stretch>
                  </pic:blipFill>
                  <pic:spPr>
                    <a:xfrm>
                      <a:off x="0" y="0"/>
                      <a:ext cx="5040000" cy="4140868"/>
                    </a:xfrm>
                    <a:prstGeom prst="rect"/>
                  </pic:spPr>
                </pic:pic>
              </a:graphicData>
            </a:graphic>
          </wp:inline>
        </w:drawing>
      </w:r>
    </w:p>
    <w:p>
      <w:pPr>
        <w:spacing w:after="240"/>
        <w:jc w:val="center"/>
      </w:pPr>
      <w:r>
        <w:rPr>
          <w:i/>
          <w:color w:val="555555"/>
          <w:sz w:val="20"/>
        </w:rPr>
        <w:t>Hình 13. Heatmap FGSM ASR ma trận 3×3 tại ε=0.20 (CIFAR-10)</w:t>
        <w:br/>
        <w:t>[WB] = White-box (source=target)  |  [Transfer] = Black-box</w:t>
      </w:r>
    </w:p>
    <w:p>
      <w:pPr>
        <w:spacing w:before="120" w:after="40"/>
        <w:jc w:val="center"/>
      </w:pPr>
      <w:r>
        <w:drawing>
          <wp:inline xmlns:a="http://schemas.openxmlformats.org/drawingml/2006/main" xmlns:pic="http://schemas.openxmlformats.org/drawingml/2006/picture">
            <wp:extent cx="6120000" cy="2112987"/>
            <wp:docPr id="14" name="Picture 14"/>
            <wp:cNvGraphicFramePr>
              <a:graphicFrameLocks noChangeAspect="1"/>
            </wp:cNvGraphicFramePr>
            <a:graphic>
              <a:graphicData uri="http://schemas.openxmlformats.org/drawingml/2006/picture">
                <pic:pic>
                  <pic:nvPicPr>
                    <pic:cNvPr id="0" name="exp5_fgsm_only_transfer_asr_vs_epsilon.png"/>
                    <pic:cNvPicPr/>
                  </pic:nvPicPr>
                  <pic:blipFill>
                    <a:blip r:embed="rId22"/>
                    <a:stretch>
                      <a:fillRect/>
                    </a:stretch>
                  </pic:blipFill>
                  <pic:spPr>
                    <a:xfrm>
                      <a:off x="0" y="0"/>
                      <a:ext cx="6120000" cy="2112987"/>
                    </a:xfrm>
                    <a:prstGeom prst="rect"/>
                  </pic:spPr>
                </pic:pic>
              </a:graphicData>
            </a:graphic>
          </wp:inline>
        </w:drawing>
      </w:r>
    </w:p>
    <w:p>
      <w:pPr>
        <w:spacing w:after="240"/>
        <w:jc w:val="center"/>
      </w:pPr>
      <w:r>
        <w:rPr>
          <w:i/>
          <w:color w:val="555555"/>
          <w:sz w:val="20"/>
        </w:rPr>
        <w:t>Hình 14. FGSM Transfer ASR theo ε — tách theo từng Source Model (CIFAR-10)</w:t>
        <w:br/>
        <w:t>Đường liền = White-box | Đường đứt = Transfer black-box | Màu = Target model</w:t>
      </w:r>
    </w:p>
    <w:p>
      <w:pPr>
        <w:pStyle w:val="Heading1"/>
        <w:jc w:val="left"/>
      </w:pPr>
      <w:r>
        <w:rPr>
          <w:color w:val="1F3864"/>
        </w:rPr>
        <w:t>8. Phân tích và thảo luận</w:t>
      </w:r>
    </w:p>
    <w:p>
      <w:pPr>
        <w:pStyle w:val="Heading2"/>
        <w:jc w:val="left"/>
      </w:pPr>
      <w:r>
        <w:rPr>
          <w:color w:val="1F3864"/>
        </w:rPr>
        <w:t>8.1. Trần năng lực của FGSM</w:t>
      </w:r>
    </w:p>
    <w:p>
      <w:pPr>
        <w:spacing w:after="120"/>
        <w:jc w:val="both"/>
      </w:pPr>
      <w:r>
        <w:rPr>
          <w:b w:val="0"/>
          <w:i w:val="0"/>
          <w:sz w:val="22"/>
        </w:rPr>
        <w:t>Kết quả thực nghiệm xác nhận rõ ràng giới hạn cố hữu của FGSM với tư cách là một tấn công 1 bước:</w:t>
      </w:r>
    </w:p>
    <w:p>
      <w:pPr>
        <w:pStyle w:val="ListBullet"/>
        <w:spacing w:after="80"/>
      </w:pPr>
      <w:r>
        <w:rPr>
          <w:sz w:val="22"/>
        </w:rPr>
        <w:t>FGSM không thể đạt ASR tùy ý dù tăng ε: trên cả MNIST (~88%) và CIFAR-10 (~85%), một phần mẫu vẫn kháng lại tấn công do bước nhảy đơn lẻ không tìm được hướng gradient tối ưu từ điểm hiện tại.</w:t>
      </w:r>
    </w:p>
    <w:p>
      <w:pPr>
        <w:pStyle w:val="ListBullet"/>
        <w:spacing w:after="80"/>
      </w:pPr>
      <w:r>
        <w:rPr>
          <w:sz w:val="22"/>
        </w:rPr>
        <w:t>Ưu thế lớn nhất của FGSM là tốc độ: chỉ cần ~2–3 giây cho 1,000+ mẫu, phù hợp cho đánh giá nhanh (quick sanity check) về độ robustness của model.</w:t>
      </w:r>
    </w:p>
    <w:p>
      <w:pPr>
        <w:pStyle w:val="ListBullet"/>
        <w:spacing w:after="80"/>
      </w:pPr>
      <w:r>
        <w:rPr>
          <w:sz w:val="22"/>
        </w:rPr>
        <w:t>FGSM hiệu quả nhất khi ε ở mức trung bình (0.10–0.20): biên độ nhỏ quá thì nhiễu chưa đủ mạnh, biên độ lớn quá thì gain thêm ASR không đáng kể (bão hòa).</w:t>
      </w:r>
    </w:p>
    <w:p>
      <w:pPr>
        <w:pStyle w:val="Heading2"/>
        <w:jc w:val="left"/>
      </w:pPr>
      <w:r>
        <w:rPr>
          <w:color w:val="1F3864"/>
        </w:rPr>
        <w:t>8.2. Tại sao CIFAR-10 dễ bị FGSM hơn MNIST?</w:t>
      </w:r>
    </w:p>
    <w:p>
      <w:pPr>
        <w:spacing w:after="120"/>
        <w:jc w:val="both"/>
      </w:pPr>
      <w:r>
        <w:rPr>
          <w:b w:val="0"/>
          <w:i w:val="0"/>
          <w:sz w:val="22"/>
        </w:rPr>
        <w:t>Mặc dù CIFAR-10 phức tạp hơn MNIST, FGSM đạt hiệu quả cao hơn rõ rệt trên CIFAR-10 ngay từ mức ε nhỏ. Các nguyên nhân chính:</w:t>
      </w:r>
    </w:p>
    <w:p>
      <w:pPr>
        <w:pStyle w:val="ListBullet"/>
        <w:spacing w:after="80"/>
      </w:pPr>
      <w:r>
        <w:rPr>
          <w:sz w:val="22"/>
        </w:rPr>
        <w:t>Clean accuracy thấp hơn (76% vs 99.45%): mô hình vốn đã ít tự tin hơn về các quyết định phân loại, ranh giới quyết định gần với dữ liệu hơn.</w:t>
      </w:r>
    </w:p>
    <w:p>
      <w:pPr>
        <w:pStyle w:val="ListBullet"/>
        <w:spacing w:after="80"/>
      </w:pPr>
      <w:r>
        <w:rPr>
          <w:sz w:val="22"/>
        </w:rPr>
        <w:t>Không gian đầu vào lớn hơn (3×32×32 = 3,072 chiều vs 1×28×28 = 784 chiều): gradient hàm mất mát có thể hướng dẫn tấn công hiệu quả hơn trong không gian cao chiều.</w:t>
      </w:r>
    </w:p>
    <w:p>
      <w:pPr>
        <w:pStyle w:val="ListBullet"/>
        <w:spacing w:after="80"/>
      </w:pPr>
      <w:r>
        <w:rPr>
          <w:sz w:val="22"/>
        </w:rPr>
        <w:t>Đa dạng nội lớp cao hơn trong CIFAR-10 khiến model khó học ranh giới quyết định sắc nét, dẫn đến dễ bị đẩy qua biên hơn.</w:t>
      </w:r>
    </w:p>
    <w:p>
      <w:pPr>
        <w:pStyle w:val="Heading2"/>
        <w:jc w:val="left"/>
      </w:pPr>
      <w:r>
        <w:rPr>
          <w:color w:val="1F3864"/>
        </w:rPr>
        <w:t>8.3. Ý nghĩa thực tế của khả năng chuyển tiếp tấn công</w:t>
      </w:r>
    </w:p>
    <w:p>
      <w:pPr>
        <w:spacing w:after="120"/>
        <w:jc w:val="both"/>
      </w:pPr>
      <w:r>
        <w:rPr>
          <w:b w:val="0"/>
          <w:i w:val="0"/>
          <w:sz w:val="22"/>
        </w:rPr>
        <w:t>Transfer rate FGSM 64–76% tại ε=0.20 mang ý nghĩa an ninh quan trọng:</w:t>
      </w:r>
    </w:p>
    <w:p>
      <w:pPr>
        <w:pStyle w:val="ListBullet"/>
        <w:spacing w:after="80"/>
      </w:pPr>
      <w:r>
        <w:rPr>
          <w:sz w:val="22"/>
        </w:rPr>
        <w:t>Attacker không cần biết kiến trúc hay trọng số của model đích để tấn công hiệu quả. Chỉ cần một surrogate model huấn luyện trên cùng task, tỉ lệ chuyển tiếp vẫn đủ cao để tạo ra mối đe dọa thực tế trong các hệ thống triển khai thực.</w:t>
      </w:r>
    </w:p>
    <w:p>
      <w:pPr>
        <w:pStyle w:val="ListBullet"/>
        <w:spacing w:after="80"/>
      </w:pPr>
      <w:r>
        <w:rPr>
          <w:sz w:val="22"/>
        </w:rPr>
        <w:t>Model mạnh hơn (clean accuracy cao hơn) không tự động an toàn hơn trước transfer attack: MobileNetV2 (85%) vẫn bị SimpleCNN→MobileNetV2 đạt 73.79% ASR.</w:t>
      </w:r>
    </w:p>
    <w:p>
      <w:pPr>
        <w:pStyle w:val="ListBullet"/>
        <w:spacing w:after="80"/>
      </w:pPr>
      <w:r>
        <w:rPr>
          <w:sz w:val="22"/>
        </w:rPr>
        <w:t>Khoảng cách kiến trúc ảnh hưởng đến transferability nhưng không loại bỏ được mối đe dọa: cặp có transfer rate thấp nhất (MobileNetV2→ResNet18: 63.88%) vẫn trên ngưỡng 60%.</w:t>
      </w:r>
    </w:p>
    <w:p>
      <w:pPr>
        <w:pStyle w:val="Heading1"/>
        <w:jc w:val="left"/>
      </w:pPr>
      <w:r>
        <w:rPr>
          <w:color w:val="1F3864"/>
        </w:rPr>
        <w:t>9. Adversarial Training — Phòng thủ bằng FGSM-AT</w:t>
      </w:r>
    </w:p>
    <w:p>
      <w:pPr>
        <w:spacing w:after="120"/>
        <w:jc w:val="both"/>
      </w:pPr>
      <w:r>
        <w:rPr>
          <w:b w:val="0"/>
          <w:i w:val="0"/>
          <w:sz w:val="22"/>
        </w:rPr>
        <w:t>Phần này đánh giá hiệu quả của Adversarial Training với FGSM (FGSM-AT) như một phương pháp tăng cường độ bền vững của mô hình. Mỗi batch huấn luyện sử dụng hàm mất mát hỗn hợp kết hợp clean loss và adversarial loss:</w:t>
      </w:r>
    </w:p>
    <w:p>
      <w:pPr>
        <w:spacing w:before="80" w:after="80"/>
        <w:jc w:val="center"/>
      </w:pPr>
      <w:r>
        <w:rPr>
          <w:rFonts w:ascii="Courier New" w:hAnsi="Courier New"/>
          <w:b/>
          <w:sz w:val="24"/>
        </w:rPr>
        <w:t>loss = (1 − r) · CE(f(x), y) + r · CE(f(x_adv), y)</w:t>
      </w:r>
    </w:p>
    <w:p>
      <w:pPr>
        <w:spacing w:after="120"/>
        <w:jc w:val="both"/>
      </w:pPr>
      <w:r>
        <w:rPr>
          <w:b w:val="0"/>
          <w:i w:val="0"/>
          <w:sz w:val="22"/>
        </w:rPr>
        <w:t>trong đó r = adv_ratio = 0.5, x_adv sinh bằng FGSM với ε_train cố định. Phương pháp này giúp model học cách phân loại đúng cả ảnh sạch lẫn ảnh đối kháng trong cùng một quá trình huấn luyện.</w:t>
      </w:r>
    </w:p>
    <w:p>
      <w:pPr>
        <w:pStyle w:val="Heading2"/>
        <w:jc w:val="left"/>
      </w:pPr>
      <w:r>
        <w:rPr>
          <w:color w:val="1F3864"/>
        </w:rPr>
        <w:t>9.1. Cấu hình và kết quả huấn luyện đối kháng</w:t>
      </w:r>
    </w:p>
    <w:tbl>
      <w:tblPr>
        <w:tblStyle w:val="TableGrid"/>
        <w:tblW w:type="auto" w:w="0"/>
        <w:jc w:val="center"/>
        <w:tblLook w:firstColumn="1" w:firstRow="1" w:lastColumn="0" w:lastRow="0" w:noHBand="0" w:noVBand="1" w:val="04A0"/>
      </w:tblPr>
      <w:tblGrid>
        <w:gridCol w:w="3135"/>
        <w:gridCol w:w="3135"/>
        <w:gridCol w:w="3135"/>
      </w:tblGrid>
      <w:tr>
        <w:tc>
          <w:tcPr>
            <w:tcW w:type="dxa" w:w="3402"/>
            <w:vAlign w:val="center"/>
            <w:shd w:val="clear" w:color="auto" w:fill="1F3864"/>
          </w:tcPr>
          <w:p>
            <w:pPr>
              <w:jc w:val="center"/>
            </w:pPr>
            <w:r>
              <w:rPr>
                <w:b/>
                <w:color w:val="FFFFFF"/>
                <w:sz w:val="20"/>
              </w:rPr>
              <w:t>Tham số</w:t>
            </w:r>
          </w:p>
        </w:tc>
        <w:tc>
          <w:tcPr>
            <w:tcW w:type="dxa" w:w="2835"/>
            <w:vAlign w:val="center"/>
            <w:shd w:val="clear" w:color="auto" w:fill="1F3864"/>
          </w:tcPr>
          <w:p>
            <w:pPr>
              <w:jc w:val="center"/>
            </w:pPr>
            <w:r>
              <w:rPr>
                <w:b/>
                <w:color w:val="FFFFFF"/>
                <w:sz w:val="20"/>
              </w:rPr>
              <w:t>MNIST</w:t>
            </w:r>
          </w:p>
        </w:tc>
        <w:tc>
          <w:tcPr>
            <w:tcW w:type="dxa" w:w="2835"/>
            <w:vAlign w:val="center"/>
            <w:shd w:val="clear" w:color="auto" w:fill="1F3864"/>
          </w:tcPr>
          <w:p>
            <w:pPr>
              <w:jc w:val="center"/>
            </w:pPr>
            <w:r>
              <w:rPr>
                <w:b/>
                <w:color w:val="FFFFFF"/>
                <w:sz w:val="20"/>
              </w:rPr>
              <w:t>CIFAR-10</w:t>
            </w:r>
          </w:p>
        </w:tc>
      </w:tr>
      <w:tr>
        <w:tc>
          <w:tcPr>
            <w:tcW w:type="dxa" w:w="3402"/>
            <w:vAlign w:val="center"/>
            <w:shd w:val="clear" w:color="auto" w:fill="F2F2F2"/>
          </w:tcPr>
          <w:p>
            <w:pPr>
              <w:jc w:val="center"/>
            </w:pPr>
            <w:r>
              <w:rPr>
                <w:sz w:val="20"/>
              </w:rPr>
              <w:t>ε_train (FGSM budget)</w:t>
            </w:r>
          </w:p>
        </w:tc>
        <w:tc>
          <w:tcPr>
            <w:tcW w:type="dxa" w:w="2835"/>
            <w:vAlign w:val="center"/>
            <w:shd w:val="clear" w:color="auto" w:fill="F2F2F2"/>
          </w:tcPr>
          <w:p>
            <w:pPr>
              <w:jc w:val="center"/>
            </w:pPr>
            <w:r>
              <w:rPr>
                <w:sz w:val="20"/>
              </w:rPr>
              <w:t>0.30</w:t>
            </w:r>
          </w:p>
        </w:tc>
        <w:tc>
          <w:tcPr>
            <w:tcW w:type="dxa" w:w="2835"/>
            <w:vAlign w:val="center"/>
            <w:shd w:val="clear" w:color="auto" w:fill="F2F2F2"/>
          </w:tcPr>
          <w:p>
            <w:pPr>
              <w:jc w:val="center"/>
            </w:pPr>
            <w:r>
              <w:rPr>
                <w:sz w:val="20"/>
              </w:rPr>
              <w:t>0.10</w:t>
            </w:r>
          </w:p>
        </w:tc>
      </w:tr>
      <w:tr>
        <w:tc>
          <w:tcPr>
            <w:tcW w:type="dxa" w:w="3402"/>
            <w:vAlign w:val="center"/>
            <w:shd w:val="clear" w:color="auto" w:fill="FFFFFF"/>
          </w:tcPr>
          <w:p>
            <w:pPr>
              <w:jc w:val="center"/>
            </w:pPr>
            <w:r>
              <w:rPr>
                <w:sz w:val="20"/>
              </w:rPr>
              <w:t>adv_ratio</w:t>
            </w:r>
          </w:p>
        </w:tc>
        <w:tc>
          <w:tcPr>
            <w:tcW w:type="dxa" w:w="2835"/>
            <w:vAlign w:val="center"/>
            <w:shd w:val="clear" w:color="auto" w:fill="FFFFFF"/>
          </w:tcPr>
          <w:p>
            <w:pPr>
              <w:jc w:val="center"/>
            </w:pPr>
            <w:r>
              <w:rPr>
                <w:sz w:val="20"/>
              </w:rPr>
              <w:t>0.50</w:t>
            </w:r>
          </w:p>
        </w:tc>
        <w:tc>
          <w:tcPr>
            <w:tcW w:type="dxa" w:w="2835"/>
            <w:vAlign w:val="center"/>
            <w:shd w:val="clear" w:color="auto" w:fill="FFFFFF"/>
          </w:tcPr>
          <w:p>
            <w:pPr>
              <w:jc w:val="center"/>
            </w:pPr>
            <w:r>
              <w:rPr>
                <w:sz w:val="20"/>
              </w:rPr>
              <w:t>0.50</w:t>
            </w:r>
          </w:p>
        </w:tc>
      </w:tr>
      <w:tr>
        <w:tc>
          <w:tcPr>
            <w:tcW w:type="dxa" w:w="3402"/>
            <w:vAlign w:val="center"/>
            <w:shd w:val="clear" w:color="auto" w:fill="F2F2F2"/>
          </w:tcPr>
          <w:p>
            <w:pPr>
              <w:jc w:val="center"/>
            </w:pPr>
            <w:r>
              <w:rPr>
                <w:sz w:val="20"/>
              </w:rPr>
              <w:t>Epochs</w:t>
            </w:r>
          </w:p>
        </w:tc>
        <w:tc>
          <w:tcPr>
            <w:tcW w:type="dxa" w:w="2835"/>
            <w:vAlign w:val="center"/>
            <w:shd w:val="clear" w:color="auto" w:fill="F2F2F2"/>
          </w:tcPr>
          <w:p>
            <w:pPr>
              <w:jc w:val="center"/>
            </w:pPr>
            <w:r>
              <w:rPr>
                <w:sz w:val="20"/>
              </w:rPr>
              <w:t>20</w:t>
            </w:r>
          </w:p>
        </w:tc>
        <w:tc>
          <w:tcPr>
            <w:tcW w:type="dxa" w:w="2835"/>
            <w:vAlign w:val="center"/>
            <w:shd w:val="clear" w:color="auto" w:fill="F2F2F2"/>
          </w:tcPr>
          <w:p>
            <w:pPr>
              <w:jc w:val="center"/>
            </w:pPr>
            <w:r>
              <w:rPr>
                <w:sz w:val="20"/>
              </w:rPr>
              <w:t>20</w:t>
            </w:r>
          </w:p>
        </w:tc>
      </w:tr>
      <w:tr>
        <w:tc>
          <w:tcPr>
            <w:tcW w:type="dxa" w:w="3402"/>
            <w:vAlign w:val="center"/>
            <w:shd w:val="clear" w:color="auto" w:fill="FFFFFF"/>
          </w:tcPr>
          <w:p>
            <w:pPr>
              <w:jc w:val="center"/>
            </w:pPr>
            <w:r>
              <w:rPr>
                <w:sz w:val="20"/>
              </w:rPr>
              <w:t>Test Clean Acc — Standard</w:t>
            </w:r>
          </w:p>
        </w:tc>
        <w:tc>
          <w:tcPr>
            <w:tcW w:type="dxa" w:w="2835"/>
            <w:vAlign w:val="center"/>
            <w:shd w:val="clear" w:color="auto" w:fill="FFFFFF"/>
          </w:tcPr>
          <w:p>
            <w:pPr>
              <w:jc w:val="center"/>
            </w:pPr>
            <w:r>
              <w:rPr>
                <w:sz w:val="20"/>
              </w:rPr>
              <w:t>99.3%</w:t>
            </w:r>
          </w:p>
        </w:tc>
        <w:tc>
          <w:tcPr>
            <w:tcW w:type="dxa" w:w="2835"/>
            <w:vAlign w:val="center"/>
            <w:shd w:val="clear" w:color="auto" w:fill="FFFFFF"/>
          </w:tcPr>
          <w:p>
            <w:pPr>
              <w:jc w:val="center"/>
            </w:pPr>
            <w:r>
              <w:rPr>
                <w:sz w:val="20"/>
              </w:rPr>
              <w:t>76.0%</w:t>
            </w:r>
          </w:p>
        </w:tc>
      </w:tr>
      <w:tr>
        <w:tc>
          <w:tcPr>
            <w:tcW w:type="dxa" w:w="3402"/>
            <w:vAlign w:val="center"/>
            <w:shd w:val="clear" w:color="auto" w:fill="F2F2F2"/>
          </w:tcPr>
          <w:p>
            <w:pPr>
              <w:jc w:val="center"/>
            </w:pPr>
            <w:r>
              <w:rPr>
                <w:sz w:val="20"/>
              </w:rPr>
              <w:t>Test Clean Acc — Adversarial</w:t>
            </w:r>
          </w:p>
        </w:tc>
        <w:tc>
          <w:tcPr>
            <w:tcW w:type="dxa" w:w="2835"/>
            <w:vAlign w:val="center"/>
            <w:shd w:val="clear" w:color="auto" w:fill="F2F2F2"/>
          </w:tcPr>
          <w:p>
            <w:pPr>
              <w:jc w:val="center"/>
            </w:pPr>
            <w:r>
              <w:rPr>
                <w:sz w:val="20"/>
              </w:rPr>
              <w:t>99.0%</w:t>
            </w:r>
          </w:p>
        </w:tc>
        <w:tc>
          <w:tcPr>
            <w:tcW w:type="dxa" w:w="2835"/>
            <w:vAlign w:val="center"/>
            <w:shd w:val="clear" w:color="auto" w:fill="F2F2F2"/>
          </w:tcPr>
          <w:p>
            <w:pPr>
              <w:jc w:val="center"/>
            </w:pPr>
            <w:r>
              <w:rPr>
                <w:sz w:val="20"/>
              </w:rPr>
              <w:t>69.9%</w:t>
            </w:r>
          </w:p>
        </w:tc>
      </w:tr>
      <w:tr>
        <w:tc>
          <w:tcPr>
            <w:tcW w:type="dxa" w:w="3402"/>
            <w:vAlign w:val="center"/>
            <w:shd w:val="clear" w:color="auto" w:fill="FFFFFF"/>
          </w:tcPr>
          <w:p>
            <w:pPr>
              <w:jc w:val="center"/>
            </w:pPr>
            <w:r>
              <w:rPr>
                <w:sz w:val="20"/>
              </w:rPr>
              <w:t>Thay đổi clean accuracy</w:t>
            </w:r>
          </w:p>
        </w:tc>
        <w:tc>
          <w:tcPr>
            <w:tcW w:type="dxa" w:w="2835"/>
            <w:vAlign w:val="center"/>
            <w:shd w:val="clear" w:color="auto" w:fill="FFFFFF"/>
          </w:tcPr>
          <w:p>
            <w:pPr>
              <w:jc w:val="center"/>
            </w:pPr>
            <w:r>
              <w:rPr>
                <w:sz w:val="20"/>
              </w:rPr>
              <w:t>−0.3pp</w:t>
            </w:r>
          </w:p>
        </w:tc>
        <w:tc>
          <w:tcPr>
            <w:tcW w:type="dxa" w:w="2835"/>
            <w:vAlign w:val="center"/>
            <w:shd w:val="clear" w:color="auto" w:fill="FFFFFF"/>
          </w:tcPr>
          <w:p>
            <w:pPr>
              <w:jc w:val="center"/>
            </w:pPr>
            <w:r>
              <w:rPr>
                <w:sz w:val="20"/>
              </w:rPr>
              <w:t>−5.4pp (trade-off)</w:t>
            </w:r>
          </w:p>
        </w:tc>
      </w:tr>
    </w:tbl>
    <w:p/>
    <w:p>
      <w:pPr>
        <w:spacing w:before="120" w:after="40"/>
        <w:jc w:val="center"/>
      </w:pPr>
      <w:r>
        <w:drawing>
          <wp:inline xmlns:a="http://schemas.openxmlformats.org/drawingml/2006/main" xmlns:pic="http://schemas.openxmlformats.org/drawingml/2006/picture">
            <wp:extent cx="5040000" cy="1884349"/>
            <wp:docPr id="15" name="Picture 15"/>
            <wp:cNvGraphicFramePr>
              <a:graphicFrameLocks noChangeAspect="1"/>
            </wp:cNvGraphicFramePr>
            <a:graphic>
              <a:graphicData uri="http://schemas.openxmlformats.org/drawingml/2006/picture">
                <pic:pic>
                  <pic:nvPicPr>
                    <pic:cNvPr id="0" name="adv_training_history_mnist.png"/>
                    <pic:cNvPicPr/>
                  </pic:nvPicPr>
                  <pic:blipFill>
                    <a:blip r:embed="rId23"/>
                    <a:stretch>
                      <a:fillRect/>
                    </a:stretch>
                  </pic:blipFill>
                  <pic:spPr>
                    <a:xfrm>
                      <a:off x="0" y="0"/>
                      <a:ext cx="5040000" cy="1884349"/>
                    </a:xfrm>
                    <a:prstGeom prst="rect"/>
                  </pic:spPr>
                </pic:pic>
              </a:graphicData>
            </a:graphic>
          </wp:inline>
        </w:drawing>
      </w:r>
    </w:p>
    <w:p>
      <w:pPr>
        <w:spacing w:after="240"/>
        <w:jc w:val="center"/>
      </w:pPr>
      <w:r>
        <w:rPr>
          <w:i/>
          <w:color w:val="555555"/>
          <w:sz w:val="20"/>
        </w:rPr>
        <w:t>Hình 15. MNIST — Lịch sử huấn luyện đối kháng: clean acc và robust acc qua 20 epoch</w:t>
      </w:r>
    </w:p>
    <w:p>
      <w:pPr>
        <w:spacing w:before="120" w:after="40"/>
        <w:jc w:val="center"/>
      </w:pPr>
      <w:r>
        <w:drawing>
          <wp:inline xmlns:a="http://schemas.openxmlformats.org/drawingml/2006/main" xmlns:pic="http://schemas.openxmlformats.org/drawingml/2006/picture">
            <wp:extent cx="5040000" cy="1884349"/>
            <wp:docPr id="16" name="Picture 16"/>
            <wp:cNvGraphicFramePr>
              <a:graphicFrameLocks noChangeAspect="1"/>
            </wp:cNvGraphicFramePr>
            <a:graphic>
              <a:graphicData uri="http://schemas.openxmlformats.org/drawingml/2006/picture">
                <pic:pic>
                  <pic:nvPicPr>
                    <pic:cNvPr id="0" name="adv_training_history_cifar10.png"/>
                    <pic:cNvPicPr/>
                  </pic:nvPicPr>
                  <pic:blipFill>
                    <a:blip r:embed="rId24"/>
                    <a:stretch>
                      <a:fillRect/>
                    </a:stretch>
                  </pic:blipFill>
                  <pic:spPr>
                    <a:xfrm>
                      <a:off x="0" y="0"/>
                      <a:ext cx="5040000" cy="1884349"/>
                    </a:xfrm>
                    <a:prstGeom prst="rect"/>
                  </pic:spPr>
                </pic:pic>
              </a:graphicData>
            </a:graphic>
          </wp:inline>
        </w:drawing>
      </w:r>
    </w:p>
    <w:p>
      <w:pPr>
        <w:spacing w:after="240"/>
        <w:jc w:val="center"/>
      </w:pPr>
      <w:r>
        <w:rPr>
          <w:i/>
          <w:color w:val="555555"/>
          <w:sz w:val="20"/>
        </w:rPr>
        <w:t>Hình 16. CIFAR-10 — Lịch sử huấn luyện đối kháng: clean acc và robust acc qua 20 epoch</w:t>
      </w:r>
    </w:p>
    <w:p>
      <w:pPr>
        <w:pStyle w:val="Heading2"/>
        <w:jc w:val="left"/>
      </w:pPr>
      <w:r>
        <w:rPr>
          <w:color w:val="1F3864"/>
        </w:rPr>
        <w:t>9.2. So sánh FGSM ASR: Standard vs Adversarial model</w:t>
      </w:r>
    </w:p>
    <w:p>
      <w:pPr>
        <w:spacing w:after="120"/>
        <w:jc w:val="both"/>
      </w:pPr>
      <w:r>
        <w:rPr>
          <w:b/>
          <w:i w:val="0"/>
          <w:color w:val="555555"/>
          <w:sz w:val="20"/>
        </w:rPr>
        <w:t>MNIST — FGSM ASR (%) theo 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val="clear" w:color="auto" w:fill="1F3864"/>
          </w:tcPr>
          <w:p>
            <w:pPr>
              <w:jc w:val="center"/>
            </w:pPr>
            <w:r>
              <w:rPr>
                <w:b/>
                <w:color w:val="FFFFFF"/>
                <w:sz w:val="20"/>
              </w:rPr>
              <w:t>ε</w:t>
            </w:r>
          </w:p>
        </w:tc>
        <w:tc>
          <w:tcPr>
            <w:tcW w:type="dxa" w:w="2835"/>
            <w:vAlign w:val="center"/>
            <w:shd w:val="clear" w:color="auto" w:fill="1F3864"/>
          </w:tcPr>
          <w:p>
            <w:pPr>
              <w:jc w:val="center"/>
            </w:pPr>
            <w:r>
              <w:rPr>
                <w:b/>
                <w:color w:val="FFFFFF"/>
                <w:sz w:val="20"/>
              </w:rPr>
              <w:t>Standard ASR (%)</w:t>
            </w:r>
          </w:p>
        </w:tc>
        <w:tc>
          <w:tcPr>
            <w:tcW w:type="dxa" w:w="3118"/>
            <w:vAlign w:val="center"/>
            <w:shd w:val="clear" w:color="auto" w:fill="1F3864"/>
          </w:tcPr>
          <w:p>
            <w:pPr>
              <w:jc w:val="center"/>
            </w:pPr>
            <w:r>
              <w:rPr>
                <w:b/>
                <w:color w:val="FFFFFF"/>
                <w:sz w:val="20"/>
              </w:rPr>
              <w:t>Adversarial ASR (%)</w:t>
            </w:r>
          </w:p>
        </w:tc>
        <w:tc>
          <w:tcPr>
            <w:tcW w:type="dxa" w:w="2268"/>
            <w:vAlign w:val="center"/>
            <w:shd w:val="clear" w:color="auto" w:fill="1F3864"/>
          </w:tcPr>
          <w:p>
            <w:pPr>
              <w:jc w:val="center"/>
            </w:pPr>
            <w:r>
              <w:rPr>
                <w:b/>
                <w:color w:val="FFFFFF"/>
                <w:sz w:val="20"/>
              </w:rPr>
              <w:t>Giảm (pp)</w:t>
            </w:r>
          </w:p>
        </w:tc>
      </w:tr>
      <w:tr>
        <w:tc>
          <w:tcPr>
            <w:tcW w:type="dxa" w:w="1417"/>
            <w:vAlign w:val="center"/>
            <w:shd w:val="clear" w:color="auto" w:fill="F2F2F2"/>
          </w:tcPr>
          <w:p>
            <w:pPr>
              <w:jc w:val="center"/>
            </w:pPr>
            <w:r>
              <w:rPr>
                <w:sz w:val="20"/>
              </w:rPr>
              <w:t>0.05</w:t>
            </w:r>
          </w:p>
        </w:tc>
        <w:tc>
          <w:tcPr>
            <w:tcW w:type="dxa" w:w="2835"/>
            <w:vAlign w:val="center"/>
            <w:shd w:val="clear" w:color="auto" w:fill="F2F2F2"/>
          </w:tcPr>
          <w:p>
            <w:pPr>
              <w:jc w:val="center"/>
            </w:pPr>
            <w:r>
              <w:rPr>
                <w:sz w:val="20"/>
              </w:rPr>
              <w:t>4.9</w:t>
            </w:r>
          </w:p>
        </w:tc>
        <w:tc>
          <w:tcPr>
            <w:tcW w:type="dxa" w:w="3118"/>
            <w:vAlign w:val="center"/>
            <w:shd w:val="clear" w:color="auto" w:fill="F2F2F2"/>
          </w:tcPr>
          <w:p>
            <w:pPr>
              <w:jc w:val="center"/>
            </w:pPr>
            <w:r>
              <w:rPr>
                <w:sz w:val="20"/>
              </w:rPr>
              <w:t>1.6</w:t>
            </w:r>
          </w:p>
        </w:tc>
        <w:tc>
          <w:tcPr>
            <w:tcW w:type="dxa" w:w="2268"/>
            <w:vAlign w:val="center"/>
            <w:shd w:val="clear" w:color="auto" w:fill="F2F2F2"/>
          </w:tcPr>
          <w:p>
            <w:pPr>
              <w:jc w:val="center"/>
            </w:pPr>
            <w:r>
              <w:rPr>
                <w:sz w:val="20"/>
              </w:rPr>
              <w:t>−3.3</w:t>
            </w:r>
          </w:p>
        </w:tc>
      </w:tr>
      <w:tr>
        <w:tc>
          <w:tcPr>
            <w:tcW w:type="dxa" w:w="1417"/>
            <w:vAlign w:val="center"/>
            <w:shd w:val="clear" w:color="auto" w:fill="FFFFFF"/>
          </w:tcPr>
          <w:p>
            <w:pPr>
              <w:jc w:val="center"/>
            </w:pPr>
            <w:r>
              <w:rPr>
                <w:sz w:val="20"/>
              </w:rPr>
              <w:t>0.10</w:t>
            </w:r>
          </w:p>
        </w:tc>
        <w:tc>
          <w:tcPr>
            <w:tcW w:type="dxa" w:w="2835"/>
            <w:vAlign w:val="center"/>
            <w:shd w:val="clear" w:color="auto" w:fill="FFFFFF"/>
          </w:tcPr>
          <w:p>
            <w:pPr>
              <w:jc w:val="center"/>
            </w:pPr>
            <w:r>
              <w:rPr>
                <w:sz w:val="20"/>
              </w:rPr>
              <w:t>28.5</w:t>
            </w:r>
          </w:p>
        </w:tc>
        <w:tc>
          <w:tcPr>
            <w:tcW w:type="dxa" w:w="3118"/>
            <w:vAlign w:val="center"/>
            <w:shd w:val="clear" w:color="auto" w:fill="FFFFFF"/>
          </w:tcPr>
          <w:p>
            <w:pPr>
              <w:jc w:val="center"/>
            </w:pPr>
            <w:r>
              <w:rPr>
                <w:sz w:val="20"/>
              </w:rPr>
              <w:t>2.5</w:t>
            </w:r>
          </w:p>
        </w:tc>
        <w:tc>
          <w:tcPr>
            <w:tcW w:type="dxa" w:w="2268"/>
            <w:vAlign w:val="center"/>
            <w:shd w:val="clear" w:color="auto" w:fill="FFFFFF"/>
          </w:tcPr>
          <w:p>
            <w:pPr>
              <w:jc w:val="center"/>
            </w:pPr>
            <w:r>
              <w:rPr>
                <w:sz w:val="20"/>
              </w:rPr>
              <w:t>−26.0</w:t>
            </w:r>
          </w:p>
        </w:tc>
      </w:tr>
      <w:tr>
        <w:tc>
          <w:tcPr>
            <w:tcW w:type="dxa" w:w="1417"/>
            <w:vAlign w:val="center"/>
            <w:shd w:val="clear" w:color="auto" w:fill="F2F2F2"/>
          </w:tcPr>
          <w:p>
            <w:pPr>
              <w:jc w:val="center"/>
            </w:pPr>
            <w:r>
              <w:rPr>
                <w:sz w:val="20"/>
              </w:rPr>
              <w:t>0.15</w:t>
            </w:r>
          </w:p>
        </w:tc>
        <w:tc>
          <w:tcPr>
            <w:tcW w:type="dxa" w:w="2835"/>
            <w:vAlign w:val="center"/>
            <w:shd w:val="clear" w:color="auto" w:fill="F2F2F2"/>
          </w:tcPr>
          <w:p>
            <w:pPr>
              <w:jc w:val="center"/>
            </w:pPr>
            <w:r>
              <w:rPr>
                <w:sz w:val="20"/>
              </w:rPr>
              <w:t>57.0</w:t>
            </w:r>
          </w:p>
        </w:tc>
        <w:tc>
          <w:tcPr>
            <w:tcW w:type="dxa" w:w="3118"/>
            <w:vAlign w:val="center"/>
            <w:shd w:val="clear" w:color="auto" w:fill="F2F2F2"/>
          </w:tcPr>
          <w:p>
            <w:pPr>
              <w:jc w:val="center"/>
            </w:pPr>
            <w:r>
              <w:rPr>
                <w:sz w:val="20"/>
              </w:rPr>
              <w:t>3.6</w:t>
            </w:r>
          </w:p>
        </w:tc>
        <w:tc>
          <w:tcPr>
            <w:tcW w:type="dxa" w:w="2268"/>
            <w:vAlign w:val="center"/>
            <w:shd w:val="clear" w:color="auto" w:fill="F2F2F2"/>
          </w:tcPr>
          <w:p>
            <w:pPr>
              <w:jc w:val="center"/>
            </w:pPr>
            <w:r>
              <w:rPr>
                <w:sz w:val="20"/>
              </w:rPr>
              <w:t>−53.4</w:t>
            </w:r>
          </w:p>
        </w:tc>
      </w:tr>
      <w:tr>
        <w:tc>
          <w:tcPr>
            <w:tcW w:type="dxa" w:w="1417"/>
            <w:vAlign w:val="center"/>
            <w:shd w:val="clear" w:color="auto" w:fill="FFFFFF"/>
          </w:tcPr>
          <w:p>
            <w:pPr>
              <w:jc w:val="center"/>
            </w:pPr>
            <w:r>
              <w:rPr>
                <w:sz w:val="20"/>
              </w:rPr>
              <w:t>0.20</w:t>
            </w:r>
          </w:p>
        </w:tc>
        <w:tc>
          <w:tcPr>
            <w:tcW w:type="dxa" w:w="2835"/>
            <w:vAlign w:val="center"/>
            <w:shd w:val="clear" w:color="auto" w:fill="FFFFFF"/>
          </w:tcPr>
          <w:p>
            <w:pPr>
              <w:jc w:val="center"/>
            </w:pPr>
            <w:r>
              <w:rPr>
                <w:sz w:val="20"/>
              </w:rPr>
              <w:t>75.1</w:t>
            </w:r>
          </w:p>
        </w:tc>
        <w:tc>
          <w:tcPr>
            <w:tcW w:type="dxa" w:w="3118"/>
            <w:vAlign w:val="center"/>
            <w:shd w:val="clear" w:color="auto" w:fill="FFFFFF"/>
          </w:tcPr>
          <w:p>
            <w:pPr>
              <w:jc w:val="center"/>
            </w:pPr>
            <w:r>
              <w:rPr>
                <w:sz w:val="20"/>
              </w:rPr>
              <w:t>4.3</w:t>
            </w:r>
          </w:p>
        </w:tc>
        <w:tc>
          <w:tcPr>
            <w:tcW w:type="dxa" w:w="2268"/>
            <w:vAlign w:val="center"/>
            <w:shd w:val="clear" w:color="auto" w:fill="FFFFFF"/>
          </w:tcPr>
          <w:p>
            <w:pPr>
              <w:jc w:val="center"/>
            </w:pPr>
            <w:r>
              <w:rPr>
                <w:sz w:val="20"/>
              </w:rPr>
              <w:t>−70.8</w:t>
            </w:r>
          </w:p>
        </w:tc>
      </w:tr>
      <w:tr>
        <w:tc>
          <w:tcPr>
            <w:tcW w:type="dxa" w:w="1417"/>
            <w:vAlign w:val="center"/>
            <w:shd w:val="clear" w:color="auto" w:fill="F2F2F2"/>
          </w:tcPr>
          <w:p>
            <w:pPr>
              <w:jc w:val="center"/>
            </w:pPr>
            <w:r>
              <w:rPr>
                <w:sz w:val="20"/>
              </w:rPr>
              <w:t>0.25</w:t>
            </w:r>
          </w:p>
        </w:tc>
        <w:tc>
          <w:tcPr>
            <w:tcW w:type="dxa" w:w="2835"/>
            <w:vAlign w:val="center"/>
            <w:shd w:val="clear" w:color="auto" w:fill="F2F2F2"/>
          </w:tcPr>
          <w:p>
            <w:pPr>
              <w:jc w:val="center"/>
            </w:pPr>
            <w:r>
              <w:rPr>
                <w:sz w:val="20"/>
              </w:rPr>
              <w:t>84.3</w:t>
            </w:r>
          </w:p>
        </w:tc>
        <w:tc>
          <w:tcPr>
            <w:tcW w:type="dxa" w:w="3118"/>
            <w:vAlign w:val="center"/>
            <w:shd w:val="clear" w:color="auto" w:fill="F2F2F2"/>
          </w:tcPr>
          <w:p>
            <w:pPr>
              <w:jc w:val="center"/>
            </w:pPr>
            <w:r>
              <w:rPr>
                <w:sz w:val="20"/>
              </w:rPr>
              <w:t>5.4</w:t>
            </w:r>
          </w:p>
        </w:tc>
        <w:tc>
          <w:tcPr>
            <w:tcW w:type="dxa" w:w="2268"/>
            <w:vAlign w:val="center"/>
            <w:shd w:val="clear" w:color="auto" w:fill="F2F2F2"/>
          </w:tcPr>
          <w:p>
            <w:pPr>
              <w:jc w:val="center"/>
            </w:pPr>
            <w:r>
              <w:rPr>
                <w:sz w:val="20"/>
              </w:rPr>
              <w:t>−78.9</w:t>
            </w:r>
          </w:p>
        </w:tc>
      </w:tr>
      <w:tr>
        <w:tc>
          <w:tcPr>
            <w:tcW w:type="dxa" w:w="1417"/>
            <w:vAlign w:val="center"/>
            <w:shd w:val="clear" w:color="auto" w:fill="FFFFFF"/>
          </w:tcPr>
          <w:p>
            <w:pPr>
              <w:jc w:val="center"/>
            </w:pPr>
            <w:r>
              <w:rPr>
                <w:sz w:val="20"/>
              </w:rPr>
              <w:t>0.30</w:t>
            </w:r>
          </w:p>
        </w:tc>
        <w:tc>
          <w:tcPr>
            <w:tcW w:type="dxa" w:w="2835"/>
            <w:vAlign w:val="center"/>
            <w:shd w:val="clear" w:color="auto" w:fill="FFFFFF"/>
          </w:tcPr>
          <w:p>
            <w:pPr>
              <w:jc w:val="center"/>
            </w:pPr>
            <w:r>
              <w:rPr>
                <w:sz w:val="20"/>
              </w:rPr>
              <w:t>89.2</w:t>
            </w:r>
          </w:p>
        </w:tc>
        <w:tc>
          <w:tcPr>
            <w:tcW w:type="dxa" w:w="3118"/>
            <w:vAlign w:val="center"/>
            <w:shd w:val="clear" w:color="auto" w:fill="FFFFFF"/>
          </w:tcPr>
          <w:p>
            <w:pPr>
              <w:jc w:val="center"/>
            </w:pPr>
            <w:r>
              <w:rPr>
                <w:sz w:val="20"/>
              </w:rPr>
              <w:t>7.0</w:t>
            </w:r>
          </w:p>
        </w:tc>
        <w:tc>
          <w:tcPr>
            <w:tcW w:type="dxa" w:w="2268"/>
            <w:vAlign w:val="center"/>
            <w:shd w:val="clear" w:color="auto" w:fill="FFFFFF"/>
          </w:tcPr>
          <w:p>
            <w:pPr>
              <w:jc w:val="center"/>
            </w:pPr>
            <w:r>
              <w:rPr>
                <w:sz w:val="20"/>
              </w:rPr>
              <w:t>−82.2</w:t>
            </w:r>
          </w:p>
        </w:tc>
      </w:tr>
    </w:tbl>
    <w:p/>
    <w:p>
      <w:pPr>
        <w:spacing w:after="120"/>
        <w:jc w:val="both"/>
      </w:pPr>
      <w:r>
        <w:rPr>
          <w:b/>
          <w:i w:val="0"/>
          <w:color w:val="555555"/>
          <w:sz w:val="20"/>
        </w:rPr>
        <w:t>CIFAR-10 — FGSM ASR (%) theo 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val="clear" w:color="auto" w:fill="1F3864"/>
          </w:tcPr>
          <w:p>
            <w:pPr>
              <w:jc w:val="center"/>
            </w:pPr>
            <w:r>
              <w:rPr>
                <w:b/>
                <w:color w:val="FFFFFF"/>
                <w:sz w:val="20"/>
              </w:rPr>
              <w:t>ε</w:t>
            </w:r>
          </w:p>
        </w:tc>
        <w:tc>
          <w:tcPr>
            <w:tcW w:type="dxa" w:w="2835"/>
            <w:vAlign w:val="center"/>
            <w:shd w:val="clear" w:color="auto" w:fill="1F3864"/>
          </w:tcPr>
          <w:p>
            <w:pPr>
              <w:jc w:val="center"/>
            </w:pPr>
            <w:r>
              <w:rPr>
                <w:b/>
                <w:color w:val="FFFFFF"/>
                <w:sz w:val="20"/>
              </w:rPr>
              <w:t>Standard ASR (%)</w:t>
            </w:r>
          </w:p>
        </w:tc>
        <w:tc>
          <w:tcPr>
            <w:tcW w:type="dxa" w:w="3118"/>
            <w:vAlign w:val="center"/>
            <w:shd w:val="clear" w:color="auto" w:fill="1F3864"/>
          </w:tcPr>
          <w:p>
            <w:pPr>
              <w:jc w:val="center"/>
            </w:pPr>
            <w:r>
              <w:rPr>
                <w:b/>
                <w:color w:val="FFFFFF"/>
                <w:sz w:val="20"/>
              </w:rPr>
              <w:t>Adversarial ASR (%)</w:t>
            </w:r>
          </w:p>
        </w:tc>
        <w:tc>
          <w:tcPr>
            <w:tcW w:type="dxa" w:w="2268"/>
            <w:vAlign w:val="center"/>
            <w:shd w:val="clear" w:color="auto" w:fill="1F3864"/>
          </w:tcPr>
          <w:p>
            <w:pPr>
              <w:jc w:val="center"/>
            </w:pPr>
            <w:r>
              <w:rPr>
                <w:b/>
                <w:color w:val="FFFFFF"/>
                <w:sz w:val="20"/>
              </w:rPr>
              <w:t>Giảm (pp)</w:t>
            </w:r>
          </w:p>
        </w:tc>
      </w:tr>
      <w:tr>
        <w:tc>
          <w:tcPr>
            <w:tcW w:type="dxa" w:w="1417"/>
            <w:vAlign w:val="center"/>
            <w:shd w:val="clear" w:color="auto" w:fill="F2F2F2"/>
          </w:tcPr>
          <w:p>
            <w:pPr>
              <w:jc w:val="center"/>
            </w:pPr>
            <w:r>
              <w:rPr>
                <w:sz w:val="20"/>
              </w:rPr>
              <w:t>0.05</w:t>
            </w:r>
          </w:p>
        </w:tc>
        <w:tc>
          <w:tcPr>
            <w:tcW w:type="dxa" w:w="2835"/>
            <w:vAlign w:val="center"/>
            <w:shd w:val="clear" w:color="auto" w:fill="F2F2F2"/>
          </w:tcPr>
          <w:p>
            <w:pPr>
              <w:jc w:val="center"/>
            </w:pPr>
            <w:r>
              <w:rPr>
                <w:sz w:val="20"/>
              </w:rPr>
              <w:t>74.0</w:t>
            </w:r>
          </w:p>
        </w:tc>
        <w:tc>
          <w:tcPr>
            <w:tcW w:type="dxa" w:w="3118"/>
            <w:vAlign w:val="center"/>
            <w:shd w:val="clear" w:color="auto" w:fill="F2F2F2"/>
          </w:tcPr>
          <w:p>
            <w:pPr>
              <w:jc w:val="center"/>
            </w:pPr>
            <w:r>
              <w:rPr>
                <w:sz w:val="20"/>
              </w:rPr>
              <w:t>60.8</w:t>
            </w:r>
          </w:p>
        </w:tc>
        <w:tc>
          <w:tcPr>
            <w:tcW w:type="dxa" w:w="2268"/>
            <w:vAlign w:val="center"/>
            <w:shd w:val="clear" w:color="auto" w:fill="F2F2F2"/>
          </w:tcPr>
          <w:p>
            <w:pPr>
              <w:jc w:val="center"/>
            </w:pPr>
            <w:r>
              <w:rPr>
                <w:sz w:val="20"/>
              </w:rPr>
              <w:t>−13.2</w:t>
            </w:r>
          </w:p>
        </w:tc>
      </w:tr>
      <w:tr>
        <w:tc>
          <w:tcPr>
            <w:tcW w:type="dxa" w:w="1417"/>
            <w:vAlign w:val="center"/>
            <w:shd w:val="clear" w:color="auto" w:fill="FFFFFF"/>
          </w:tcPr>
          <w:p>
            <w:pPr>
              <w:jc w:val="center"/>
            </w:pPr>
            <w:r>
              <w:rPr>
                <w:sz w:val="20"/>
              </w:rPr>
              <w:t>0.10</w:t>
            </w:r>
          </w:p>
        </w:tc>
        <w:tc>
          <w:tcPr>
            <w:tcW w:type="dxa" w:w="2835"/>
            <w:vAlign w:val="center"/>
            <w:shd w:val="clear" w:color="auto" w:fill="FFFFFF"/>
          </w:tcPr>
          <w:p>
            <w:pPr>
              <w:jc w:val="center"/>
            </w:pPr>
            <w:r>
              <w:rPr>
                <w:sz w:val="20"/>
              </w:rPr>
              <w:t>82.2</w:t>
            </w:r>
          </w:p>
        </w:tc>
        <w:tc>
          <w:tcPr>
            <w:tcW w:type="dxa" w:w="3118"/>
            <w:vAlign w:val="center"/>
            <w:shd w:val="clear" w:color="auto" w:fill="FFFFFF"/>
          </w:tcPr>
          <w:p>
            <w:pPr>
              <w:jc w:val="center"/>
            </w:pPr>
            <w:r>
              <w:rPr>
                <w:sz w:val="20"/>
              </w:rPr>
              <w:t>68.8</w:t>
            </w:r>
          </w:p>
        </w:tc>
        <w:tc>
          <w:tcPr>
            <w:tcW w:type="dxa" w:w="2268"/>
            <w:vAlign w:val="center"/>
            <w:shd w:val="clear" w:color="auto" w:fill="FFFFFF"/>
          </w:tcPr>
          <w:p>
            <w:pPr>
              <w:jc w:val="center"/>
            </w:pPr>
            <w:r>
              <w:rPr>
                <w:sz w:val="20"/>
              </w:rPr>
              <w:t>−13.4</w:t>
            </w:r>
          </w:p>
        </w:tc>
      </w:tr>
      <w:tr>
        <w:tc>
          <w:tcPr>
            <w:tcW w:type="dxa" w:w="1417"/>
            <w:vAlign w:val="center"/>
            <w:shd w:val="clear" w:color="auto" w:fill="F2F2F2"/>
          </w:tcPr>
          <w:p>
            <w:pPr>
              <w:jc w:val="center"/>
            </w:pPr>
            <w:r>
              <w:rPr>
                <w:sz w:val="20"/>
              </w:rPr>
              <w:t>0.15</w:t>
            </w:r>
          </w:p>
        </w:tc>
        <w:tc>
          <w:tcPr>
            <w:tcW w:type="dxa" w:w="2835"/>
            <w:vAlign w:val="center"/>
            <w:shd w:val="clear" w:color="auto" w:fill="F2F2F2"/>
          </w:tcPr>
          <w:p>
            <w:pPr>
              <w:jc w:val="center"/>
            </w:pPr>
            <w:r>
              <w:rPr>
                <w:sz w:val="20"/>
              </w:rPr>
              <w:t>85.2</w:t>
            </w:r>
          </w:p>
        </w:tc>
        <w:tc>
          <w:tcPr>
            <w:tcW w:type="dxa" w:w="3118"/>
            <w:vAlign w:val="center"/>
            <w:shd w:val="clear" w:color="auto" w:fill="F2F2F2"/>
          </w:tcPr>
          <w:p>
            <w:pPr>
              <w:jc w:val="center"/>
            </w:pPr>
            <w:r>
              <w:rPr>
                <w:sz w:val="20"/>
              </w:rPr>
              <w:t>74.0</w:t>
            </w:r>
          </w:p>
        </w:tc>
        <w:tc>
          <w:tcPr>
            <w:tcW w:type="dxa" w:w="2268"/>
            <w:vAlign w:val="center"/>
            <w:shd w:val="clear" w:color="auto" w:fill="F2F2F2"/>
          </w:tcPr>
          <w:p>
            <w:pPr>
              <w:jc w:val="center"/>
            </w:pPr>
            <w:r>
              <w:rPr>
                <w:sz w:val="20"/>
              </w:rPr>
              <w:t>−11.2</w:t>
            </w:r>
          </w:p>
        </w:tc>
      </w:tr>
      <w:tr>
        <w:tc>
          <w:tcPr>
            <w:tcW w:type="dxa" w:w="1417"/>
            <w:vAlign w:val="center"/>
            <w:shd w:val="clear" w:color="auto" w:fill="FFFFFF"/>
          </w:tcPr>
          <w:p>
            <w:pPr>
              <w:jc w:val="center"/>
            </w:pPr>
            <w:r>
              <w:rPr>
                <w:sz w:val="20"/>
              </w:rPr>
              <w:t>0.20</w:t>
            </w:r>
          </w:p>
        </w:tc>
        <w:tc>
          <w:tcPr>
            <w:tcW w:type="dxa" w:w="2835"/>
            <w:vAlign w:val="center"/>
            <w:shd w:val="clear" w:color="auto" w:fill="FFFFFF"/>
          </w:tcPr>
          <w:p>
            <w:pPr>
              <w:jc w:val="center"/>
            </w:pPr>
            <w:r>
              <w:rPr>
                <w:sz w:val="20"/>
              </w:rPr>
              <w:t>85.8</w:t>
            </w:r>
          </w:p>
        </w:tc>
        <w:tc>
          <w:tcPr>
            <w:tcW w:type="dxa" w:w="3118"/>
            <w:vAlign w:val="center"/>
            <w:shd w:val="clear" w:color="auto" w:fill="FFFFFF"/>
          </w:tcPr>
          <w:p>
            <w:pPr>
              <w:jc w:val="center"/>
            </w:pPr>
            <w:r>
              <w:rPr>
                <w:sz w:val="20"/>
              </w:rPr>
              <w:t>77.4</w:t>
            </w:r>
          </w:p>
        </w:tc>
        <w:tc>
          <w:tcPr>
            <w:tcW w:type="dxa" w:w="2268"/>
            <w:vAlign w:val="center"/>
            <w:shd w:val="clear" w:color="auto" w:fill="FFFFFF"/>
          </w:tcPr>
          <w:p>
            <w:pPr>
              <w:jc w:val="center"/>
            </w:pPr>
            <w:r>
              <w:rPr>
                <w:sz w:val="20"/>
              </w:rPr>
              <w:t>−8.4</w:t>
            </w:r>
          </w:p>
        </w:tc>
      </w:tr>
      <w:tr>
        <w:tc>
          <w:tcPr>
            <w:tcW w:type="dxa" w:w="1417"/>
            <w:vAlign w:val="center"/>
            <w:shd w:val="clear" w:color="auto" w:fill="F2F2F2"/>
          </w:tcPr>
          <w:p>
            <w:pPr>
              <w:jc w:val="center"/>
            </w:pPr>
            <w:r>
              <w:rPr>
                <w:sz w:val="20"/>
              </w:rPr>
              <w:t>0.25</w:t>
            </w:r>
          </w:p>
        </w:tc>
        <w:tc>
          <w:tcPr>
            <w:tcW w:type="dxa" w:w="2835"/>
            <w:vAlign w:val="center"/>
            <w:shd w:val="clear" w:color="auto" w:fill="F2F2F2"/>
          </w:tcPr>
          <w:p>
            <w:pPr>
              <w:jc w:val="center"/>
            </w:pPr>
            <w:r>
              <w:rPr>
                <w:sz w:val="20"/>
              </w:rPr>
              <w:t>86.4</w:t>
            </w:r>
          </w:p>
        </w:tc>
        <w:tc>
          <w:tcPr>
            <w:tcW w:type="dxa" w:w="3118"/>
            <w:vAlign w:val="center"/>
            <w:shd w:val="clear" w:color="auto" w:fill="F2F2F2"/>
          </w:tcPr>
          <w:p>
            <w:pPr>
              <w:jc w:val="center"/>
            </w:pPr>
            <w:r>
              <w:rPr>
                <w:sz w:val="20"/>
              </w:rPr>
              <w:t>79.8</w:t>
            </w:r>
          </w:p>
        </w:tc>
        <w:tc>
          <w:tcPr>
            <w:tcW w:type="dxa" w:w="2268"/>
            <w:vAlign w:val="center"/>
            <w:shd w:val="clear" w:color="auto" w:fill="F2F2F2"/>
          </w:tcPr>
          <w:p>
            <w:pPr>
              <w:jc w:val="center"/>
            </w:pPr>
            <w:r>
              <w:rPr>
                <w:sz w:val="20"/>
              </w:rPr>
              <w:t>−6.6</w:t>
            </w:r>
          </w:p>
        </w:tc>
      </w:tr>
      <w:tr>
        <w:tc>
          <w:tcPr>
            <w:tcW w:type="dxa" w:w="1417"/>
            <w:vAlign w:val="center"/>
            <w:shd w:val="clear" w:color="auto" w:fill="FFFFFF"/>
          </w:tcPr>
          <w:p>
            <w:pPr>
              <w:jc w:val="center"/>
            </w:pPr>
            <w:r>
              <w:rPr>
                <w:sz w:val="20"/>
              </w:rPr>
              <w:t>0.30</w:t>
            </w:r>
          </w:p>
        </w:tc>
        <w:tc>
          <w:tcPr>
            <w:tcW w:type="dxa" w:w="2835"/>
            <w:vAlign w:val="center"/>
            <w:shd w:val="clear" w:color="auto" w:fill="FFFFFF"/>
          </w:tcPr>
          <w:p>
            <w:pPr>
              <w:jc w:val="center"/>
            </w:pPr>
            <w:r>
              <w:rPr>
                <w:sz w:val="20"/>
              </w:rPr>
              <w:t>86.6</w:t>
            </w:r>
          </w:p>
        </w:tc>
        <w:tc>
          <w:tcPr>
            <w:tcW w:type="dxa" w:w="3118"/>
            <w:vAlign w:val="center"/>
            <w:shd w:val="clear" w:color="auto" w:fill="FFFFFF"/>
          </w:tcPr>
          <w:p>
            <w:pPr>
              <w:jc w:val="center"/>
            </w:pPr>
            <w:r>
              <w:rPr>
                <w:sz w:val="20"/>
              </w:rPr>
              <w:t>80.7</w:t>
            </w:r>
          </w:p>
        </w:tc>
        <w:tc>
          <w:tcPr>
            <w:tcW w:type="dxa" w:w="2268"/>
            <w:vAlign w:val="center"/>
            <w:shd w:val="clear" w:color="auto" w:fill="FFFFFF"/>
          </w:tcPr>
          <w:p>
            <w:pPr>
              <w:jc w:val="center"/>
            </w:pPr>
            <w:r>
              <w:rPr>
                <w:sz w:val="20"/>
              </w:rPr>
              <w:t>−5.9</w:t>
            </w:r>
          </w:p>
        </w:tc>
      </w:tr>
    </w:tbl>
    <w:p/>
    <w:p>
      <w:pPr>
        <w:spacing w:after="120"/>
        <w:jc w:val="both"/>
      </w:pPr>
      <w:r>
        <w:rPr>
          <w:b w:val="0"/>
          <w:i w:val="0"/>
          <w:sz w:val="22"/>
        </w:rPr>
        <w:t>Nhận xét:</w:t>
      </w:r>
    </w:p>
    <w:p>
      <w:pPr>
        <w:pStyle w:val="ListBullet"/>
        <w:spacing w:after="60"/>
      </w:pPr>
      <w:r>
        <w:rPr>
          <w:sz w:val="22"/>
        </w:rPr>
        <w:t>MNIST: Adversarial training cực kỳ hiệu quả — ASR giảm từ 89.2% xuống 7.0% ở ε=0.30 (−82.2pp) trong khi clean accuracy chỉ giảm 0.3pp. Model gần như miễn nhiễm với FGSM.</w:t>
      </w:r>
    </w:p>
    <w:p>
      <w:pPr>
        <w:pStyle w:val="ListBullet"/>
        <w:spacing w:after="60"/>
      </w:pPr>
      <w:r>
        <w:rPr>
          <w:sz w:val="22"/>
        </w:rPr>
        <w:t>CIFAR-10: Có cải thiện nhưng hạn chế hơn (~10pp giảm ASR mỗi mức ε), kèm trade-off clean accuracy −5.4pp — đây là hiện tượng điển hình khi bài toán phức tạp, model phải hy sinh một phần clean performance để đổi lấy robustness.</w:t>
      </w:r>
    </w:p>
    <w:p>
      <w:pPr>
        <w:pStyle w:val="ListBullet"/>
        <w:spacing w:after="60"/>
      </w:pPr>
      <w:r>
        <w:rPr>
          <w:sz w:val="22"/>
        </w:rPr>
        <w:t>Sự khác biệt MNIST vs CIFAR-10 cho thấy: với bài toán đơn giản, adversarial training gần như miễn phí; với bài toán phức tạp, cần chiến lược tinh tế hơn (PGD-AT, TRADES) để giảm trade-off.</w:t>
      </w:r>
    </w:p>
    <w:p>
      <w:pPr>
        <w:spacing w:before="120" w:after="40"/>
        <w:jc w:val="center"/>
      </w:pPr>
      <w:r>
        <w:drawing>
          <wp:inline xmlns:a="http://schemas.openxmlformats.org/drawingml/2006/main" xmlns:pic="http://schemas.openxmlformats.org/drawingml/2006/picture">
            <wp:extent cx="5040000" cy="1925217"/>
            <wp:docPr id="17" name="Picture 17"/>
            <wp:cNvGraphicFramePr>
              <a:graphicFrameLocks noChangeAspect="1"/>
            </wp:cNvGraphicFramePr>
            <a:graphic>
              <a:graphicData uri="http://schemas.openxmlformats.org/drawingml/2006/picture">
                <pic:pic>
                  <pic:nvPicPr>
                    <pic:cNvPr id="0" name="adv_robustness_comparison_mnist.png"/>
                    <pic:cNvPicPr/>
                  </pic:nvPicPr>
                  <pic:blipFill>
                    <a:blip r:embed="rId25"/>
                    <a:stretch>
                      <a:fillRect/>
                    </a:stretch>
                  </pic:blipFill>
                  <pic:spPr>
                    <a:xfrm>
                      <a:off x="0" y="0"/>
                      <a:ext cx="5040000" cy="1925217"/>
                    </a:xfrm>
                    <a:prstGeom prst="rect"/>
                  </pic:spPr>
                </pic:pic>
              </a:graphicData>
            </a:graphic>
          </wp:inline>
        </w:drawing>
      </w:r>
    </w:p>
    <w:p>
      <w:pPr>
        <w:spacing w:after="240"/>
        <w:jc w:val="center"/>
      </w:pPr>
      <w:r>
        <w:rPr>
          <w:i/>
          <w:color w:val="555555"/>
          <w:sz w:val="20"/>
        </w:rPr>
        <w:t>Hình 17. MNIST — FGSM ASR: Standard model (đỏ) vs Adversarial model (xanh) theo ε</w:t>
      </w:r>
    </w:p>
    <w:p>
      <w:pPr>
        <w:spacing w:before="120" w:after="40"/>
        <w:jc w:val="center"/>
      </w:pPr>
      <w:r>
        <w:drawing>
          <wp:inline xmlns:a="http://schemas.openxmlformats.org/drawingml/2006/main" xmlns:pic="http://schemas.openxmlformats.org/drawingml/2006/picture">
            <wp:extent cx="5040000" cy="1925217"/>
            <wp:docPr id="18" name="Picture 18"/>
            <wp:cNvGraphicFramePr>
              <a:graphicFrameLocks noChangeAspect="1"/>
            </wp:cNvGraphicFramePr>
            <a:graphic>
              <a:graphicData uri="http://schemas.openxmlformats.org/drawingml/2006/picture">
                <pic:pic>
                  <pic:nvPicPr>
                    <pic:cNvPr id="0" name="adv_robustness_comparison_cifar10.png"/>
                    <pic:cNvPicPr/>
                  </pic:nvPicPr>
                  <pic:blipFill>
                    <a:blip r:embed="rId26"/>
                    <a:stretch>
                      <a:fillRect/>
                    </a:stretch>
                  </pic:blipFill>
                  <pic:spPr>
                    <a:xfrm>
                      <a:off x="0" y="0"/>
                      <a:ext cx="5040000" cy="1925217"/>
                    </a:xfrm>
                    <a:prstGeom prst="rect"/>
                  </pic:spPr>
                </pic:pic>
              </a:graphicData>
            </a:graphic>
          </wp:inline>
        </w:drawing>
      </w:r>
    </w:p>
    <w:p>
      <w:pPr>
        <w:spacing w:after="240"/>
        <w:jc w:val="center"/>
      </w:pPr>
      <w:r>
        <w:rPr>
          <w:i/>
          <w:color w:val="555555"/>
          <w:sz w:val="20"/>
        </w:rPr>
        <w:t>Hình 18. CIFAR-10 — FGSM ASR: Standard model (đỏ) vs Adversarial model (xanh) theo ε</w:t>
      </w:r>
    </w:p>
    <w:p>
      <w:pPr>
        <w:pStyle w:val="Heading1"/>
        <w:jc w:val="left"/>
      </w:pPr>
      <w:r>
        <w:rPr>
          <w:color w:val="1F3864"/>
        </w:rPr>
        <w:t>10. Thực nghiệm 4 — Targeted FGSM</w:t>
      </w:r>
    </w:p>
    <w:p>
      <w:pPr>
        <w:spacing w:after="120"/>
        <w:jc w:val="both"/>
      </w:pPr>
      <w:r>
        <w:rPr>
          <w:b w:val="0"/>
          <w:i w:val="0"/>
          <w:sz w:val="22"/>
        </w:rPr>
        <w:t>Phần này mở rộng FGSM sang kịch bản tấn công có chủ đích (targeted attack): thay vì chỉ làm mô hình dự đoán sai (untargeted), attacker ép mô hình dự đoán đúng vào một lớp cụ thể mà họ muốn. Công thức ngược chiều gradient:</w:t>
      </w:r>
    </w:p>
    <w:p>
      <w:pPr>
        <w:spacing w:before="80" w:after="80"/>
        <w:jc w:val="center"/>
      </w:pPr>
      <w:r>
        <w:rPr>
          <w:rFonts w:ascii="Courier New" w:hAnsi="Courier New"/>
          <w:b/>
          <w:sz w:val="24"/>
        </w:rPr>
        <w:t>x_adv = x − ε · sign(∇ₓ J(θ, x, y_target))</w:t>
      </w:r>
    </w:p>
    <w:p>
      <w:pPr>
        <w:spacing w:after="120"/>
        <w:jc w:val="both"/>
      </w:pPr>
      <w:r>
        <w:rPr>
          <w:b w:val="0"/>
          <w:i w:val="0"/>
          <w:sz w:val="22"/>
        </w:rPr>
        <w:t>Dấu trừ (−) thay vì dấu cộng: đi ngược chiều gradient để giảm loss với nhãn đích y_target, khiến mô hình tin đây là ảnh thuộc lớp đó.</w:t>
      </w:r>
    </w:p>
    <w:p>
      <w:pPr>
        <w:pStyle w:val="Heading2"/>
        <w:jc w:val="left"/>
      </w:pPr>
      <w:r>
        <w:rPr>
          <w:color w:val="1F3864"/>
        </w:rPr>
        <w:t>10.1. So sánh Untargeted ASR vs Targeted TSR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vAlign w:val="center"/>
            <w:shd w:val="clear" w:color="auto" w:fill="1F3864"/>
          </w:tcPr>
          <w:p>
            <w:pPr>
              <w:jc w:val="center"/>
            </w:pPr>
            <w:r>
              <w:rPr>
                <w:b/>
                <w:color w:val="FFFFFF"/>
                <w:sz w:val="20"/>
              </w:rPr>
              <w:t>Dataset</w:t>
            </w:r>
          </w:p>
        </w:tc>
        <w:tc>
          <w:tcPr>
            <w:tcW w:type="dxa" w:w="2551"/>
            <w:vAlign w:val="center"/>
            <w:shd w:val="clear" w:color="auto" w:fill="1F3864"/>
          </w:tcPr>
          <w:p>
            <w:pPr>
              <w:jc w:val="center"/>
            </w:pPr>
            <w:r>
              <w:rPr>
                <w:b/>
                <w:color w:val="FFFFFF"/>
                <w:sz w:val="20"/>
              </w:rPr>
              <w:t>Untargeted ASR (%)</w:t>
            </w:r>
          </w:p>
        </w:tc>
        <w:tc>
          <w:tcPr>
            <w:tcW w:type="dxa" w:w="2551"/>
            <w:vAlign w:val="center"/>
            <w:shd w:val="clear" w:color="auto" w:fill="1F3864"/>
          </w:tcPr>
          <w:p>
            <w:pPr>
              <w:jc w:val="center"/>
            </w:pPr>
            <w:r>
              <w:rPr>
                <w:b/>
                <w:color w:val="FFFFFF"/>
                <w:sz w:val="20"/>
              </w:rPr>
              <w:t>Targeted TSR (%)</w:t>
            </w:r>
          </w:p>
        </w:tc>
        <w:tc>
          <w:tcPr>
            <w:tcW w:type="dxa" w:w="2551"/>
            <w:vAlign w:val="center"/>
            <w:shd w:val="clear" w:color="auto" w:fill="1F3864"/>
          </w:tcPr>
          <w:p>
            <w:pPr>
              <w:jc w:val="center"/>
            </w:pPr>
            <w:r>
              <w:rPr>
                <w:b/>
                <w:color w:val="FFFFFF"/>
                <w:sz w:val="20"/>
              </w:rPr>
              <w:t>Chênh lệch (pp)</w:t>
            </w:r>
          </w:p>
        </w:tc>
      </w:tr>
      <w:tr>
        <w:tc>
          <w:tcPr>
            <w:tcW w:type="dxa" w:w="1984"/>
            <w:vAlign w:val="center"/>
            <w:shd w:val="clear" w:color="auto" w:fill="F2F2F2"/>
          </w:tcPr>
          <w:p>
            <w:pPr>
              <w:jc w:val="center"/>
            </w:pPr>
            <w:r>
              <w:rPr>
                <w:sz w:val="20"/>
              </w:rPr>
              <w:t>MNIST</w:t>
            </w:r>
          </w:p>
        </w:tc>
        <w:tc>
          <w:tcPr>
            <w:tcW w:type="dxa" w:w="2551"/>
            <w:vAlign w:val="center"/>
            <w:shd w:val="clear" w:color="auto" w:fill="F2F2F2"/>
          </w:tcPr>
          <w:p>
            <w:pPr>
              <w:jc w:val="center"/>
            </w:pPr>
            <w:r>
              <w:rPr>
                <w:sz w:val="20"/>
              </w:rPr>
              <w:t>71.1</w:t>
            </w:r>
          </w:p>
        </w:tc>
        <w:tc>
          <w:tcPr>
            <w:tcW w:type="dxa" w:w="2551"/>
            <w:vAlign w:val="center"/>
            <w:shd w:val="clear" w:color="auto" w:fill="F2F2F2"/>
          </w:tcPr>
          <w:p>
            <w:pPr>
              <w:jc w:val="center"/>
            </w:pPr>
            <w:r>
              <w:rPr>
                <w:sz w:val="20"/>
              </w:rPr>
              <w:t>15.6</w:t>
            </w:r>
          </w:p>
        </w:tc>
        <w:tc>
          <w:tcPr>
            <w:tcW w:type="dxa" w:w="2551"/>
            <w:vAlign w:val="center"/>
            <w:shd w:val="clear" w:color="auto" w:fill="F2F2F2"/>
          </w:tcPr>
          <w:p>
            <w:pPr>
              <w:jc w:val="center"/>
            </w:pPr>
            <w:r>
              <w:rPr>
                <w:sz w:val="20"/>
              </w:rPr>
              <w:t>−55.5</w:t>
            </w:r>
          </w:p>
        </w:tc>
      </w:tr>
      <w:tr>
        <w:tc>
          <w:tcPr>
            <w:tcW w:type="dxa" w:w="1984"/>
            <w:vAlign w:val="center"/>
            <w:shd w:val="clear" w:color="auto" w:fill="FFFFFF"/>
          </w:tcPr>
          <w:p>
            <w:pPr>
              <w:jc w:val="center"/>
            </w:pPr>
            <w:r>
              <w:rPr>
                <w:sz w:val="20"/>
              </w:rPr>
              <w:t>CIFAR-10</w:t>
            </w:r>
          </w:p>
        </w:tc>
        <w:tc>
          <w:tcPr>
            <w:tcW w:type="dxa" w:w="2551"/>
            <w:vAlign w:val="center"/>
            <w:shd w:val="clear" w:color="auto" w:fill="FFFFFF"/>
          </w:tcPr>
          <w:p>
            <w:pPr>
              <w:jc w:val="center"/>
            </w:pPr>
            <w:r>
              <w:rPr>
                <w:sz w:val="20"/>
              </w:rPr>
              <w:t>95.0</w:t>
            </w:r>
          </w:p>
        </w:tc>
        <w:tc>
          <w:tcPr>
            <w:tcW w:type="dxa" w:w="2551"/>
            <w:vAlign w:val="center"/>
            <w:shd w:val="clear" w:color="auto" w:fill="FFFFFF"/>
          </w:tcPr>
          <w:p>
            <w:pPr>
              <w:jc w:val="center"/>
            </w:pPr>
            <w:r>
              <w:rPr>
                <w:sz w:val="20"/>
              </w:rPr>
              <w:t>11.3</w:t>
            </w:r>
          </w:p>
        </w:tc>
        <w:tc>
          <w:tcPr>
            <w:tcW w:type="dxa" w:w="2551"/>
            <w:vAlign w:val="center"/>
            <w:shd w:val="clear" w:color="auto" w:fill="FFFFFF"/>
          </w:tcPr>
          <w:p>
            <w:pPr>
              <w:jc w:val="center"/>
            </w:pPr>
            <w:r>
              <w:rPr>
                <w:sz w:val="20"/>
              </w:rPr>
              <w:t>−83.7</w:t>
            </w:r>
          </w:p>
        </w:tc>
      </w:tr>
    </w:tbl>
    <w:p/>
    <w:p>
      <w:pPr>
        <w:spacing w:after="120"/>
        <w:jc w:val="both"/>
      </w:pPr>
      <w:r>
        <w:rPr>
          <w:b w:val="0"/>
          <w:i w:val="0"/>
          <w:sz w:val="22"/>
        </w:rPr>
        <w:t>Nhận xét:</w:t>
      </w:r>
    </w:p>
    <w:p>
      <w:pPr>
        <w:pStyle w:val="ListBullet"/>
        <w:spacing w:after="60"/>
      </w:pPr>
      <w:r>
        <w:rPr>
          <w:sz w:val="22"/>
        </w:rPr>
        <w:t>Targeted TSR thấp hơn Untargeted ASR rất nhiều (55–84 pp): FGSM 1 bước chỉ đủ mạnh để đẩy mẫu ra khỏi lớp đúng, nhưng chưa đủ để định hướng chính xác vào một lớp mục tiêu cụ thể.</w:t>
      </w:r>
    </w:p>
    <w:p>
      <w:pPr>
        <w:pStyle w:val="ListBullet"/>
        <w:spacing w:after="60"/>
      </w:pPr>
      <w:r>
        <w:rPr>
          <w:sz w:val="22"/>
        </w:rPr>
        <w:t>CIFAR-10 đặc biệt khó targeted: TSR chỉ 11.3% trong khi untargeted đạt 95%. Không gian quyết định phức tạp hơn khiến 1 bước gradient không đủ để đưa mẫu vào đúng vùng của lớp đích.</w:t>
      </w:r>
    </w:p>
    <w:p>
      <w:pPr>
        <w:pStyle w:val="ListBullet"/>
        <w:spacing w:after="60"/>
      </w:pPr>
      <w:r>
        <w:rPr>
          <w:sz w:val="22"/>
        </w:rPr>
        <w:t>Kết quả này gợi ý: để targeted attack hiệu quả cần nhiều bước lặp hơn (Targeted I-FGSM / MI-FGSM) hoặc tối ưu C&amp;W.</w:t>
      </w:r>
    </w:p>
    <w:p>
      <w:pPr>
        <w:pStyle w:val="Heading2"/>
        <w:jc w:val="left"/>
      </w:pPr>
      <w:r>
        <w:rPr>
          <w:color w:val="1F3864"/>
        </w:rPr>
        <w:t>10.2. Ma trận TSR theo từng cặp class (ε=0.20)</w:t>
      </w:r>
    </w:p>
    <w:p>
      <w:pPr>
        <w:spacing w:after="120"/>
        <w:jc w:val="both"/>
      </w:pPr>
      <w:r>
        <w:rPr>
          <w:b w:val="0"/>
          <w:i w:val="0"/>
          <w:sz w:val="22"/>
        </w:rPr>
        <w:t>Heatmap bên dưới trình bày Targeted Success Rate (TSR) cho mọi cặp (source class → target class). Hàng = class thực của ảnh; Cột = class đích muốn tấn công vào. Ô xám trên đường chéo = N/A (src=tgt).</w:t>
      </w:r>
    </w:p>
    <w:p>
      <w:pPr>
        <w:spacing w:before="120" w:after="40"/>
        <w:jc w:val="center"/>
      </w:pPr>
      <w:r>
        <w:drawing>
          <wp:inline xmlns:a="http://schemas.openxmlformats.org/drawingml/2006/main" xmlns:pic="http://schemas.openxmlformats.org/drawingml/2006/picture">
            <wp:extent cx="5040000" cy="4231023"/>
            <wp:docPr id="19" name="Picture 19"/>
            <wp:cNvGraphicFramePr>
              <a:graphicFrameLocks noChangeAspect="1"/>
            </wp:cNvGraphicFramePr>
            <a:graphic>
              <a:graphicData uri="http://schemas.openxmlformats.org/drawingml/2006/picture">
                <pic:pic>
                  <pic:nvPicPr>
                    <pic:cNvPr id="0" name="exp6_targeted_tsr_heatmap_mnist.png"/>
                    <pic:cNvPicPr/>
                  </pic:nvPicPr>
                  <pic:blipFill>
                    <a:blip r:embed="rId27"/>
                    <a:stretch>
                      <a:fillRect/>
                    </a:stretch>
                  </pic:blipFill>
                  <pic:spPr>
                    <a:xfrm>
                      <a:off x="0" y="0"/>
                      <a:ext cx="5040000" cy="4231023"/>
                    </a:xfrm>
                    <a:prstGeom prst="rect"/>
                  </pic:spPr>
                </pic:pic>
              </a:graphicData>
            </a:graphic>
          </wp:inline>
        </w:drawing>
      </w:r>
    </w:p>
    <w:p>
      <w:pPr>
        <w:spacing w:after="240"/>
        <w:jc w:val="center"/>
      </w:pPr>
      <w:r>
        <w:rPr>
          <w:i/>
          <w:color w:val="555555"/>
          <w:sz w:val="20"/>
        </w:rPr>
        <w:t>Hình 19. MNIST — Targeted FGSM TSR Matrix (ε=0.20)</w:t>
        <w:br/>
        <w:t>Màu đỏ đậm = TSR cao (dễ tấn công vào lớp đó); màu vàng nhạt = TSR thấp</w:t>
      </w:r>
    </w:p>
    <w:p>
      <w:pPr>
        <w:spacing w:after="120"/>
        <w:jc w:val="both"/>
      </w:pPr>
      <w:r>
        <w:rPr>
          <w:b w:val="0"/>
          <w:i w:val="0"/>
          <w:sz w:val="22"/>
        </w:rPr>
        <w:t>Điểm đặc biệt: class "8" là target dễ bị nhầm vào nhất (avg TSR khi là đích = 85.6%). Các class "1", "4", "6" gần như không thể là target thành công (TSR &lt; 2%).</w:t>
      </w:r>
    </w:p>
    <w:p>
      <w:pPr>
        <w:spacing w:before="120" w:after="40"/>
        <w:jc w:val="center"/>
      </w:pPr>
      <w:r>
        <w:drawing>
          <wp:inline xmlns:a="http://schemas.openxmlformats.org/drawingml/2006/main" xmlns:pic="http://schemas.openxmlformats.org/drawingml/2006/picture">
            <wp:extent cx="5040000" cy="4204739"/>
            <wp:docPr id="20" name="Picture 20"/>
            <wp:cNvGraphicFramePr>
              <a:graphicFrameLocks noChangeAspect="1"/>
            </wp:cNvGraphicFramePr>
            <a:graphic>
              <a:graphicData uri="http://schemas.openxmlformats.org/drawingml/2006/picture">
                <pic:pic>
                  <pic:nvPicPr>
                    <pic:cNvPr id="0" name="exp6_targeted_tsr_heatmap_cifar10.png"/>
                    <pic:cNvPicPr/>
                  </pic:nvPicPr>
                  <pic:blipFill>
                    <a:blip r:embed="rId28"/>
                    <a:stretch>
                      <a:fillRect/>
                    </a:stretch>
                  </pic:blipFill>
                  <pic:spPr>
                    <a:xfrm>
                      <a:off x="0" y="0"/>
                      <a:ext cx="5040000" cy="4204739"/>
                    </a:xfrm>
                    <a:prstGeom prst="rect"/>
                  </pic:spPr>
                </pic:pic>
              </a:graphicData>
            </a:graphic>
          </wp:inline>
        </w:drawing>
      </w:r>
    </w:p>
    <w:p>
      <w:pPr>
        <w:spacing w:after="240"/>
        <w:jc w:val="center"/>
      </w:pPr>
      <w:r>
        <w:rPr>
          <w:i/>
          <w:color w:val="555555"/>
          <w:sz w:val="20"/>
        </w:rPr>
        <w:t>Hình 20. CIFAR-10 — Targeted FGSM TSR Matrix (ε=0.20)</w:t>
        <w:br/>
        <w:t>"frog" là target dễ bị nhầm vào nhất (TSR ~98% khi là đích)</w:t>
      </w:r>
    </w:p>
    <w:p>
      <w:pPr>
        <w:spacing w:before="120" w:after="40"/>
        <w:jc w:val="center"/>
      </w:pPr>
      <w:r>
        <w:drawing>
          <wp:inline xmlns:a="http://schemas.openxmlformats.org/drawingml/2006/main" xmlns:pic="http://schemas.openxmlformats.org/drawingml/2006/picture">
            <wp:extent cx="5040000" cy="3549913"/>
            <wp:docPr id="21" name="Picture 21"/>
            <wp:cNvGraphicFramePr>
              <a:graphicFrameLocks noChangeAspect="1"/>
            </wp:cNvGraphicFramePr>
            <a:graphic>
              <a:graphicData uri="http://schemas.openxmlformats.org/drawingml/2006/picture">
                <pic:pic>
                  <pic:nvPicPr>
                    <pic:cNvPr id="0" name="exp6_targeted_vs_untargeted.png"/>
                    <pic:cNvPicPr/>
                  </pic:nvPicPr>
                  <pic:blipFill>
                    <a:blip r:embed="rId29"/>
                    <a:stretch>
                      <a:fillRect/>
                    </a:stretch>
                  </pic:blipFill>
                  <pic:spPr>
                    <a:xfrm>
                      <a:off x="0" y="0"/>
                      <a:ext cx="5040000" cy="3549913"/>
                    </a:xfrm>
                    <a:prstGeom prst="rect"/>
                  </pic:spPr>
                </pic:pic>
              </a:graphicData>
            </a:graphic>
          </wp:inline>
        </w:drawing>
      </w:r>
    </w:p>
    <w:p>
      <w:pPr>
        <w:spacing w:after="240"/>
        <w:jc w:val="center"/>
      </w:pPr>
      <w:r>
        <w:rPr>
          <w:i/>
          <w:color w:val="555555"/>
          <w:sz w:val="20"/>
        </w:rPr>
        <w:t>Hình 21. So sánh Untargeted ASR vs Targeted TSR trên MNIST và CIFAR-10 (ε=0.20)</w:t>
      </w:r>
    </w:p>
    <w:p>
      <w:pPr>
        <w:pStyle w:val="Heading1"/>
        <w:jc w:val="left"/>
      </w:pPr>
      <w:r>
        <w:rPr>
          <w:color w:val="1F3864"/>
        </w:rPr>
        <w:t>11. Thực nghiệm 5 — MI-FGSM (Momentum Iterative FGSM)</w:t>
      </w:r>
    </w:p>
    <w:p>
      <w:pPr>
        <w:spacing w:after="120"/>
        <w:jc w:val="both"/>
      </w:pPr>
      <w:r>
        <w:rPr>
          <w:b w:val="0"/>
          <w:i w:val="0"/>
          <w:sz w:val="22"/>
        </w:rPr>
        <w:t>MI-FGSM (Dong et al., CVPR 2018) mở rộng I-FGSM bằng cách tích lũy gradient theo chiều momentum giữa các bước, giúp tránh cực trị cục bộ và tăng khả năng transferability:</w:t>
      </w:r>
    </w:p>
    <w:p>
      <w:pPr>
        <w:spacing w:before="80" w:after="80"/>
        <w:jc w:val="center"/>
      </w:pPr>
      <w:r>
        <w:rPr>
          <w:rFonts w:ascii="Courier New" w:hAnsi="Courier New"/>
          <w:b/>
          <w:sz w:val="22"/>
        </w:rPr>
        <w:t>g₀ = 0</w:t>
        <w:br/>
        <w:t>gₜ₊₁ = μ · gₜ  +  ∇ₓJ(θ, xₜ, y) / ‖∇ₓJ‖₁</w:t>
        <w:br/>
        <w:t>xₜ₊₁ = Clip_{x,ε}[ xₜ + α · sign(gₜ₊₁) ]</w:t>
      </w:r>
    </w:p>
    <w:tbl>
      <w:tblPr>
        <w:tblStyle w:val="TableGrid"/>
        <w:tblW w:type="auto" w:w="0"/>
        <w:jc w:val="center"/>
        <w:tblLook w:firstColumn="1" w:firstRow="1" w:lastColumn="0" w:lastRow="0" w:noHBand="0" w:noVBand="1" w:val="04A0"/>
      </w:tblPr>
      <w:tblGrid>
        <w:gridCol w:w="3135"/>
        <w:gridCol w:w="3135"/>
        <w:gridCol w:w="3135"/>
      </w:tblGrid>
      <w:tr>
        <w:tc>
          <w:tcPr>
            <w:tcW w:type="dxa" w:w="1984"/>
            <w:vAlign w:val="center"/>
            <w:shd w:val="clear" w:color="auto" w:fill="1F3864"/>
          </w:tcPr>
          <w:p>
            <w:pPr>
              <w:jc w:val="center"/>
            </w:pPr>
            <w:r>
              <w:rPr>
                <w:b/>
                <w:color w:val="FFFFFF"/>
                <w:sz w:val="20"/>
              </w:rPr>
              <w:t>Thuật toán</w:t>
            </w:r>
          </w:p>
        </w:tc>
        <w:tc>
          <w:tcPr>
            <w:tcW w:type="dxa" w:w="3685"/>
            <w:vAlign w:val="center"/>
            <w:shd w:val="clear" w:color="auto" w:fill="1F3864"/>
          </w:tcPr>
          <w:p>
            <w:pPr>
              <w:jc w:val="center"/>
            </w:pPr>
            <w:r>
              <w:rPr>
                <w:b/>
                <w:color w:val="FFFFFF"/>
                <w:sz w:val="20"/>
              </w:rPr>
              <w:t>Gradient mỗi bước</w:t>
            </w:r>
          </w:p>
        </w:tc>
        <w:tc>
          <w:tcPr>
            <w:tcW w:type="dxa" w:w="3969"/>
            <w:vAlign w:val="center"/>
            <w:shd w:val="clear" w:color="auto" w:fill="1F3864"/>
          </w:tcPr>
          <w:p>
            <w:pPr>
              <w:jc w:val="center"/>
            </w:pPr>
            <w:r>
              <w:rPr>
                <w:b/>
                <w:color w:val="FFFFFF"/>
                <w:sz w:val="20"/>
              </w:rPr>
              <w:t>Ưu điểm</w:t>
            </w:r>
          </w:p>
        </w:tc>
      </w:tr>
      <w:tr>
        <w:tc>
          <w:tcPr>
            <w:tcW w:type="dxa" w:w="1984"/>
            <w:vAlign w:val="center"/>
            <w:shd w:val="clear" w:color="auto" w:fill="F2F2F2"/>
          </w:tcPr>
          <w:p>
            <w:pPr>
              <w:jc w:val="center"/>
            </w:pPr>
            <w:r>
              <w:rPr>
                <w:sz w:val="20"/>
              </w:rPr>
              <w:t>FGSM</w:t>
            </w:r>
          </w:p>
        </w:tc>
        <w:tc>
          <w:tcPr>
            <w:tcW w:type="dxa" w:w="3685"/>
            <w:vAlign w:val="center"/>
            <w:shd w:val="clear" w:color="auto" w:fill="F2F2F2"/>
          </w:tcPr>
          <w:p>
            <w:pPr>
              <w:jc w:val="center"/>
            </w:pPr>
            <w:r>
              <w:rPr>
                <w:sz w:val="20"/>
              </w:rPr>
              <w:t>sign(∇ₓJ) — 1 bước</w:t>
            </w:r>
          </w:p>
        </w:tc>
        <w:tc>
          <w:tcPr>
            <w:tcW w:type="dxa" w:w="3969"/>
            <w:vAlign w:val="center"/>
            <w:shd w:val="clear" w:color="auto" w:fill="F2F2F2"/>
          </w:tcPr>
          <w:p>
            <w:pPr>
              <w:jc w:val="center"/>
            </w:pPr>
            <w:r>
              <w:rPr>
                <w:sz w:val="20"/>
              </w:rPr>
              <w:t>Nhanh, đơn giản</w:t>
            </w:r>
          </w:p>
        </w:tc>
      </w:tr>
      <w:tr>
        <w:tc>
          <w:tcPr>
            <w:tcW w:type="dxa" w:w="1984"/>
            <w:vAlign w:val="center"/>
            <w:shd w:val="clear" w:color="auto" w:fill="FFFFFF"/>
          </w:tcPr>
          <w:p>
            <w:pPr>
              <w:jc w:val="center"/>
            </w:pPr>
            <w:r>
              <w:rPr>
                <w:sz w:val="20"/>
              </w:rPr>
              <w:t>I-FGSM</w:t>
            </w:r>
          </w:p>
        </w:tc>
        <w:tc>
          <w:tcPr>
            <w:tcW w:type="dxa" w:w="3685"/>
            <w:vAlign w:val="center"/>
            <w:shd w:val="clear" w:color="auto" w:fill="FFFFFF"/>
          </w:tcPr>
          <w:p>
            <w:pPr>
              <w:jc w:val="center"/>
            </w:pPr>
            <w:r>
              <w:rPr>
                <w:sz w:val="20"/>
              </w:rPr>
              <w:t>sign(∇ₓJₜ) — nhiều bước</w:t>
            </w:r>
          </w:p>
        </w:tc>
        <w:tc>
          <w:tcPr>
            <w:tcW w:type="dxa" w:w="3969"/>
            <w:vAlign w:val="center"/>
            <w:shd w:val="clear" w:color="auto" w:fill="FFFFFF"/>
          </w:tcPr>
          <w:p>
            <w:pPr>
              <w:jc w:val="center"/>
            </w:pPr>
            <w:r>
              <w:rPr>
                <w:sz w:val="20"/>
              </w:rPr>
              <w:t>ASR cao hơn FGSM</w:t>
            </w:r>
          </w:p>
        </w:tc>
      </w:tr>
      <w:tr>
        <w:tc>
          <w:tcPr>
            <w:tcW w:type="dxa" w:w="1984"/>
            <w:vAlign w:val="center"/>
            <w:shd w:val="clear" w:color="auto" w:fill="F2F2F2"/>
          </w:tcPr>
          <w:p>
            <w:pPr>
              <w:jc w:val="center"/>
            </w:pPr>
            <w:r>
              <w:rPr>
                <w:sz w:val="20"/>
              </w:rPr>
              <w:t>MI-FGSM</w:t>
            </w:r>
          </w:p>
        </w:tc>
        <w:tc>
          <w:tcPr>
            <w:tcW w:type="dxa" w:w="3685"/>
            <w:vAlign w:val="center"/>
            <w:shd w:val="clear" w:color="auto" w:fill="F2F2F2"/>
          </w:tcPr>
          <w:p>
            <w:pPr>
              <w:jc w:val="center"/>
            </w:pPr>
            <w:r>
              <w:rPr>
                <w:sz w:val="20"/>
              </w:rPr>
              <w:t>sign(μ·gₜ + ∇ₓJₜ/‖∇ₓJₜ‖₁)</w:t>
            </w:r>
          </w:p>
        </w:tc>
        <w:tc>
          <w:tcPr>
            <w:tcW w:type="dxa" w:w="3969"/>
            <w:vAlign w:val="center"/>
            <w:shd w:val="clear" w:color="auto" w:fill="F2F2F2"/>
          </w:tcPr>
          <w:p>
            <w:pPr>
              <w:jc w:val="center"/>
            </w:pPr>
            <w:r>
              <w:rPr>
                <w:sz w:val="20"/>
              </w:rPr>
              <w:t>Transfer tốt hơn, ổn định hơn</w:t>
            </w:r>
          </w:p>
        </w:tc>
      </w:tr>
    </w:tbl>
    <w:p/>
    <w:p>
      <w:pPr>
        <w:pStyle w:val="Heading2"/>
        <w:jc w:val="left"/>
      </w:pPr>
      <w:r>
        <w:rPr>
          <w:color w:val="1F3864"/>
        </w:rPr>
        <w:t>11.1. ASR theo ε: FGSM / I-FGSM / MI-FGSM</w:t>
      </w:r>
    </w:p>
    <w:p>
      <w:pPr>
        <w:spacing w:after="120"/>
        <w:jc w:val="both"/>
      </w:pPr>
      <w:r>
        <w:rPr>
          <w:b/>
          <w:i w:val="0"/>
          <w:color w:val="555555"/>
          <w:sz w:val="20"/>
        </w:rPr>
        <w:t>MNIST — ASR (%) tại T=10 bước: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val="clear" w:color="auto" w:fill="1F3864"/>
          </w:tcPr>
          <w:p>
            <w:pPr>
              <w:jc w:val="center"/>
            </w:pPr>
            <w:r>
              <w:rPr>
                <w:b/>
                <w:color w:val="FFFFFF"/>
                <w:sz w:val="20"/>
              </w:rPr>
              <w:t>ε</w:t>
            </w:r>
          </w:p>
        </w:tc>
        <w:tc>
          <w:tcPr>
            <w:tcW w:type="dxa" w:w="1984"/>
            <w:vAlign w:val="center"/>
            <w:shd w:val="clear" w:color="auto" w:fill="1F3864"/>
          </w:tcPr>
          <w:p>
            <w:pPr>
              <w:jc w:val="center"/>
            </w:pPr>
            <w:r>
              <w:rPr>
                <w:b/>
                <w:color w:val="FFFFFF"/>
                <w:sz w:val="20"/>
              </w:rPr>
              <w:t>FGSM</w:t>
            </w:r>
          </w:p>
        </w:tc>
        <w:tc>
          <w:tcPr>
            <w:tcW w:type="dxa" w:w="2551"/>
            <w:vAlign w:val="center"/>
            <w:shd w:val="clear" w:color="auto" w:fill="1F3864"/>
          </w:tcPr>
          <w:p>
            <w:pPr>
              <w:jc w:val="center"/>
            </w:pPr>
            <w:r>
              <w:rPr>
                <w:b/>
                <w:color w:val="FFFFFF"/>
                <w:sz w:val="20"/>
              </w:rPr>
              <w:t>I-FGSM (T=10)</w:t>
            </w:r>
          </w:p>
        </w:tc>
        <w:tc>
          <w:tcPr>
            <w:tcW w:type="dxa" w:w="3118"/>
            <w:vAlign w:val="center"/>
            <w:shd w:val="clear" w:color="auto" w:fill="1F3864"/>
          </w:tcPr>
          <w:p>
            <w:pPr>
              <w:jc w:val="center"/>
            </w:pPr>
            <w:r>
              <w:rPr>
                <w:b/>
                <w:color w:val="FFFFFF"/>
                <w:sz w:val="20"/>
              </w:rPr>
              <w:t>MI-FGSM (T=10, μ=1)</w:t>
            </w:r>
          </w:p>
        </w:tc>
      </w:tr>
      <w:tr>
        <w:tc>
          <w:tcPr>
            <w:tcW w:type="dxa" w:w="1417"/>
            <w:vAlign w:val="center"/>
            <w:shd w:val="clear" w:color="auto" w:fill="F2F2F2"/>
          </w:tcPr>
          <w:p>
            <w:pPr>
              <w:jc w:val="center"/>
            </w:pPr>
            <w:r>
              <w:rPr>
                <w:sz w:val="20"/>
              </w:rPr>
              <w:t>0.05</w:t>
            </w:r>
          </w:p>
        </w:tc>
        <w:tc>
          <w:tcPr>
            <w:tcW w:type="dxa" w:w="1984"/>
            <w:vAlign w:val="center"/>
            <w:shd w:val="clear" w:color="auto" w:fill="F2F2F2"/>
          </w:tcPr>
          <w:p>
            <w:pPr>
              <w:jc w:val="center"/>
            </w:pPr>
            <w:r>
              <w:rPr>
                <w:sz w:val="20"/>
              </w:rPr>
              <w:t>4.9</w:t>
            </w:r>
          </w:p>
        </w:tc>
        <w:tc>
          <w:tcPr>
            <w:tcW w:type="dxa" w:w="2551"/>
            <w:vAlign w:val="center"/>
            <w:shd w:val="clear" w:color="auto" w:fill="F2F2F2"/>
          </w:tcPr>
          <w:p>
            <w:pPr>
              <w:jc w:val="center"/>
            </w:pPr>
            <w:r>
              <w:rPr>
                <w:sz w:val="20"/>
              </w:rPr>
              <w:t>40.1</w:t>
            </w:r>
          </w:p>
        </w:tc>
        <w:tc>
          <w:tcPr>
            <w:tcW w:type="dxa" w:w="3118"/>
            <w:vAlign w:val="center"/>
            <w:shd w:val="clear" w:color="auto" w:fill="F2F2F2"/>
          </w:tcPr>
          <w:p>
            <w:pPr>
              <w:jc w:val="center"/>
            </w:pPr>
            <w:r>
              <w:rPr>
                <w:sz w:val="20"/>
              </w:rPr>
              <w:t>40.8</w:t>
            </w:r>
          </w:p>
        </w:tc>
      </w:tr>
      <w:tr>
        <w:tc>
          <w:tcPr>
            <w:tcW w:type="dxa" w:w="1417"/>
            <w:vAlign w:val="center"/>
            <w:shd w:val="clear" w:color="auto" w:fill="FFFFFF"/>
          </w:tcPr>
          <w:p>
            <w:pPr>
              <w:jc w:val="center"/>
            </w:pPr>
            <w:r>
              <w:rPr>
                <w:sz w:val="20"/>
              </w:rPr>
              <w:t>0.10</w:t>
            </w:r>
          </w:p>
        </w:tc>
        <w:tc>
          <w:tcPr>
            <w:tcW w:type="dxa" w:w="1984"/>
            <w:vAlign w:val="center"/>
            <w:shd w:val="clear" w:color="auto" w:fill="FFFFFF"/>
          </w:tcPr>
          <w:p>
            <w:pPr>
              <w:jc w:val="center"/>
            </w:pPr>
            <w:r>
              <w:rPr>
                <w:sz w:val="20"/>
              </w:rPr>
              <w:t>28.5</w:t>
            </w:r>
          </w:p>
        </w:tc>
        <w:tc>
          <w:tcPr>
            <w:tcW w:type="dxa" w:w="2551"/>
            <w:vAlign w:val="center"/>
            <w:shd w:val="clear" w:color="auto" w:fill="FFFFFF"/>
          </w:tcPr>
          <w:p>
            <w:pPr>
              <w:jc w:val="center"/>
            </w:pPr>
            <w:r>
              <w:rPr>
                <w:sz w:val="20"/>
              </w:rPr>
              <w:t>90.1</w:t>
            </w:r>
          </w:p>
        </w:tc>
        <w:tc>
          <w:tcPr>
            <w:tcW w:type="dxa" w:w="3118"/>
            <w:vAlign w:val="center"/>
            <w:shd w:val="clear" w:color="auto" w:fill="FFFFFF"/>
          </w:tcPr>
          <w:p>
            <w:pPr>
              <w:jc w:val="center"/>
            </w:pPr>
            <w:r>
              <w:rPr>
                <w:sz w:val="20"/>
              </w:rPr>
              <w:t>89.7</w:t>
            </w:r>
          </w:p>
        </w:tc>
      </w:tr>
      <w:tr>
        <w:tc>
          <w:tcPr>
            <w:tcW w:type="dxa" w:w="1417"/>
            <w:vAlign w:val="center"/>
            <w:shd w:val="clear" w:color="auto" w:fill="F2F2F2"/>
          </w:tcPr>
          <w:p>
            <w:pPr>
              <w:jc w:val="center"/>
            </w:pPr>
            <w:r>
              <w:rPr>
                <w:sz w:val="20"/>
              </w:rPr>
              <w:t>0.15</w:t>
            </w:r>
          </w:p>
        </w:tc>
        <w:tc>
          <w:tcPr>
            <w:tcW w:type="dxa" w:w="1984"/>
            <w:vAlign w:val="center"/>
            <w:shd w:val="clear" w:color="auto" w:fill="F2F2F2"/>
          </w:tcPr>
          <w:p>
            <w:pPr>
              <w:jc w:val="center"/>
            </w:pPr>
            <w:r>
              <w:rPr>
                <w:sz w:val="20"/>
              </w:rPr>
              <w:t>57.0</w:t>
            </w:r>
          </w:p>
        </w:tc>
        <w:tc>
          <w:tcPr>
            <w:tcW w:type="dxa" w:w="2551"/>
            <w:vAlign w:val="center"/>
            <w:shd w:val="clear" w:color="auto" w:fill="F2F2F2"/>
          </w:tcPr>
          <w:p>
            <w:pPr>
              <w:jc w:val="center"/>
            </w:pPr>
            <w:r>
              <w:rPr>
                <w:sz w:val="20"/>
              </w:rPr>
              <w:t>98.5</w:t>
            </w:r>
          </w:p>
        </w:tc>
        <w:tc>
          <w:tcPr>
            <w:tcW w:type="dxa" w:w="3118"/>
            <w:vAlign w:val="center"/>
            <w:shd w:val="clear" w:color="auto" w:fill="F2F2F2"/>
          </w:tcPr>
          <w:p>
            <w:pPr>
              <w:jc w:val="center"/>
            </w:pPr>
            <w:r>
              <w:rPr>
                <w:sz w:val="20"/>
              </w:rPr>
              <w:t>98.2</w:t>
            </w:r>
          </w:p>
        </w:tc>
      </w:tr>
      <w:tr>
        <w:tc>
          <w:tcPr>
            <w:tcW w:type="dxa" w:w="1417"/>
            <w:vAlign w:val="center"/>
            <w:shd w:val="clear" w:color="auto" w:fill="FFFFFF"/>
          </w:tcPr>
          <w:p>
            <w:pPr>
              <w:jc w:val="center"/>
            </w:pPr>
            <w:r>
              <w:rPr>
                <w:sz w:val="20"/>
              </w:rPr>
              <w:t>0.20</w:t>
            </w:r>
          </w:p>
        </w:tc>
        <w:tc>
          <w:tcPr>
            <w:tcW w:type="dxa" w:w="1984"/>
            <w:vAlign w:val="center"/>
            <w:shd w:val="clear" w:color="auto" w:fill="FFFFFF"/>
          </w:tcPr>
          <w:p>
            <w:pPr>
              <w:jc w:val="center"/>
            </w:pPr>
            <w:r>
              <w:rPr>
                <w:sz w:val="20"/>
              </w:rPr>
              <w:t>74.7</w:t>
            </w:r>
          </w:p>
        </w:tc>
        <w:tc>
          <w:tcPr>
            <w:tcW w:type="dxa" w:w="2551"/>
            <w:vAlign w:val="center"/>
            <w:shd w:val="clear" w:color="auto" w:fill="FFFFFF"/>
          </w:tcPr>
          <w:p>
            <w:pPr>
              <w:jc w:val="center"/>
            </w:pPr>
            <w:r>
              <w:rPr>
                <w:sz w:val="20"/>
              </w:rPr>
              <w:t>99.8</w:t>
            </w:r>
          </w:p>
        </w:tc>
        <w:tc>
          <w:tcPr>
            <w:tcW w:type="dxa" w:w="3118"/>
            <w:vAlign w:val="center"/>
            <w:shd w:val="clear" w:color="auto" w:fill="FFFFFF"/>
          </w:tcPr>
          <w:p>
            <w:pPr>
              <w:jc w:val="center"/>
            </w:pPr>
            <w:r>
              <w:rPr>
                <w:sz w:val="20"/>
              </w:rPr>
              <w:t>99.8</w:t>
            </w:r>
          </w:p>
        </w:tc>
      </w:tr>
      <w:tr>
        <w:tc>
          <w:tcPr>
            <w:tcW w:type="dxa" w:w="1417"/>
            <w:vAlign w:val="center"/>
            <w:shd w:val="clear" w:color="auto" w:fill="F2F2F2"/>
          </w:tcPr>
          <w:p>
            <w:pPr>
              <w:jc w:val="center"/>
            </w:pPr>
            <w:r>
              <w:rPr>
                <w:sz w:val="20"/>
              </w:rPr>
              <w:t>0.25</w:t>
            </w:r>
          </w:p>
        </w:tc>
        <w:tc>
          <w:tcPr>
            <w:tcW w:type="dxa" w:w="1984"/>
            <w:vAlign w:val="center"/>
            <w:shd w:val="clear" w:color="auto" w:fill="F2F2F2"/>
          </w:tcPr>
          <w:p>
            <w:pPr>
              <w:jc w:val="center"/>
            </w:pPr>
            <w:r>
              <w:rPr>
                <w:sz w:val="20"/>
              </w:rPr>
              <w:t>84.3</w:t>
            </w:r>
          </w:p>
        </w:tc>
        <w:tc>
          <w:tcPr>
            <w:tcW w:type="dxa" w:w="2551"/>
            <w:vAlign w:val="center"/>
            <w:shd w:val="clear" w:color="auto" w:fill="F2F2F2"/>
          </w:tcPr>
          <w:p>
            <w:pPr>
              <w:jc w:val="center"/>
            </w:pPr>
            <w:r>
              <w:rPr>
                <w:sz w:val="20"/>
              </w:rPr>
              <w:t>100.0</w:t>
            </w:r>
          </w:p>
        </w:tc>
        <w:tc>
          <w:tcPr>
            <w:tcW w:type="dxa" w:w="3118"/>
            <w:vAlign w:val="center"/>
            <w:shd w:val="clear" w:color="auto" w:fill="F2F2F2"/>
          </w:tcPr>
          <w:p>
            <w:pPr>
              <w:jc w:val="center"/>
            </w:pPr>
            <w:r>
              <w:rPr>
                <w:sz w:val="20"/>
              </w:rPr>
              <w:t>99.8</w:t>
            </w:r>
          </w:p>
        </w:tc>
      </w:tr>
      <w:tr>
        <w:tc>
          <w:tcPr>
            <w:tcW w:type="dxa" w:w="1417"/>
            <w:vAlign w:val="center"/>
            <w:shd w:val="clear" w:color="auto" w:fill="FFFFFF"/>
          </w:tcPr>
          <w:p>
            <w:pPr>
              <w:jc w:val="center"/>
            </w:pPr>
            <w:r>
              <w:rPr>
                <w:sz w:val="20"/>
              </w:rPr>
              <w:t>0.30</w:t>
            </w:r>
          </w:p>
        </w:tc>
        <w:tc>
          <w:tcPr>
            <w:tcW w:type="dxa" w:w="1984"/>
            <w:vAlign w:val="center"/>
            <w:shd w:val="clear" w:color="auto" w:fill="FFFFFF"/>
          </w:tcPr>
          <w:p>
            <w:pPr>
              <w:jc w:val="center"/>
            </w:pPr>
            <w:r>
              <w:rPr>
                <w:sz w:val="20"/>
              </w:rPr>
              <w:t>88.8</w:t>
            </w:r>
          </w:p>
        </w:tc>
        <w:tc>
          <w:tcPr>
            <w:tcW w:type="dxa" w:w="2551"/>
            <w:vAlign w:val="center"/>
            <w:shd w:val="clear" w:color="auto" w:fill="FFFFFF"/>
          </w:tcPr>
          <w:p>
            <w:pPr>
              <w:jc w:val="center"/>
            </w:pPr>
            <w:r>
              <w:rPr>
                <w:sz w:val="20"/>
              </w:rPr>
              <w:t>100.0</w:t>
            </w:r>
          </w:p>
        </w:tc>
        <w:tc>
          <w:tcPr>
            <w:tcW w:type="dxa" w:w="3118"/>
            <w:vAlign w:val="center"/>
            <w:shd w:val="clear" w:color="auto" w:fill="FFFFFF"/>
          </w:tcPr>
          <w:p>
            <w:pPr>
              <w:jc w:val="center"/>
            </w:pPr>
            <w:r>
              <w:rPr>
                <w:sz w:val="20"/>
              </w:rPr>
              <w:t>99.8</w:t>
            </w:r>
          </w:p>
        </w:tc>
      </w:tr>
    </w:tbl>
    <w:p/>
    <w:p>
      <w:pPr>
        <w:spacing w:after="120"/>
        <w:jc w:val="both"/>
      </w:pPr>
      <w:r>
        <w:rPr>
          <w:b/>
          <w:i w:val="0"/>
          <w:color w:val="555555"/>
          <w:sz w:val="20"/>
        </w:rPr>
        <w:t>CIFAR-10 — ASR (%) tại T=10 bước: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val="clear" w:color="auto" w:fill="1F3864"/>
          </w:tcPr>
          <w:p>
            <w:pPr>
              <w:jc w:val="center"/>
            </w:pPr>
            <w:r>
              <w:rPr>
                <w:b/>
                <w:color w:val="FFFFFF"/>
                <w:sz w:val="20"/>
              </w:rPr>
              <w:t>ε</w:t>
            </w:r>
          </w:p>
        </w:tc>
        <w:tc>
          <w:tcPr>
            <w:tcW w:type="dxa" w:w="1984"/>
            <w:vAlign w:val="center"/>
            <w:shd w:val="clear" w:color="auto" w:fill="1F3864"/>
          </w:tcPr>
          <w:p>
            <w:pPr>
              <w:jc w:val="center"/>
            </w:pPr>
            <w:r>
              <w:rPr>
                <w:b/>
                <w:color w:val="FFFFFF"/>
                <w:sz w:val="20"/>
              </w:rPr>
              <w:t>FGSM</w:t>
            </w:r>
          </w:p>
        </w:tc>
        <w:tc>
          <w:tcPr>
            <w:tcW w:type="dxa" w:w="2551"/>
            <w:vAlign w:val="center"/>
            <w:shd w:val="clear" w:color="auto" w:fill="1F3864"/>
          </w:tcPr>
          <w:p>
            <w:pPr>
              <w:jc w:val="center"/>
            </w:pPr>
            <w:r>
              <w:rPr>
                <w:b/>
                <w:color w:val="FFFFFF"/>
                <w:sz w:val="20"/>
              </w:rPr>
              <w:t>I-FGSM (T=10)</w:t>
            </w:r>
          </w:p>
        </w:tc>
        <w:tc>
          <w:tcPr>
            <w:tcW w:type="dxa" w:w="3118"/>
            <w:vAlign w:val="center"/>
            <w:shd w:val="clear" w:color="auto" w:fill="1F3864"/>
          </w:tcPr>
          <w:p>
            <w:pPr>
              <w:jc w:val="center"/>
            </w:pPr>
            <w:r>
              <w:rPr>
                <w:b/>
                <w:color w:val="FFFFFF"/>
                <w:sz w:val="20"/>
              </w:rPr>
              <w:t>MI-FGSM (T=10, μ=1)</w:t>
            </w:r>
          </w:p>
        </w:tc>
      </w:tr>
      <w:tr>
        <w:tc>
          <w:tcPr>
            <w:tcW w:type="dxa" w:w="1417"/>
            <w:vAlign w:val="center"/>
            <w:shd w:val="clear" w:color="auto" w:fill="F2F2F2"/>
          </w:tcPr>
          <w:p>
            <w:pPr>
              <w:jc w:val="center"/>
            </w:pPr>
            <w:r>
              <w:rPr>
                <w:sz w:val="20"/>
              </w:rPr>
              <w:t>0.05</w:t>
            </w:r>
          </w:p>
        </w:tc>
        <w:tc>
          <w:tcPr>
            <w:tcW w:type="dxa" w:w="1984"/>
            <w:vAlign w:val="center"/>
            <w:shd w:val="clear" w:color="auto" w:fill="F2F2F2"/>
          </w:tcPr>
          <w:p>
            <w:pPr>
              <w:jc w:val="center"/>
            </w:pPr>
            <w:r>
              <w:rPr>
                <w:sz w:val="20"/>
              </w:rPr>
              <w:t>72.4</w:t>
            </w:r>
          </w:p>
        </w:tc>
        <w:tc>
          <w:tcPr>
            <w:tcW w:type="dxa" w:w="2551"/>
            <w:vAlign w:val="center"/>
            <w:shd w:val="clear" w:color="auto" w:fill="F2F2F2"/>
          </w:tcPr>
          <w:p>
            <w:pPr>
              <w:jc w:val="center"/>
            </w:pPr>
            <w:r>
              <w:rPr>
                <w:sz w:val="20"/>
              </w:rPr>
              <w:t>95.4</w:t>
            </w:r>
          </w:p>
        </w:tc>
        <w:tc>
          <w:tcPr>
            <w:tcW w:type="dxa" w:w="3118"/>
            <w:vAlign w:val="center"/>
            <w:shd w:val="clear" w:color="auto" w:fill="F2F2F2"/>
          </w:tcPr>
          <w:p>
            <w:pPr>
              <w:jc w:val="center"/>
            </w:pPr>
            <w:r>
              <w:rPr>
                <w:sz w:val="20"/>
              </w:rPr>
              <w:t>95.4</w:t>
            </w:r>
          </w:p>
        </w:tc>
      </w:tr>
      <w:tr>
        <w:tc>
          <w:tcPr>
            <w:tcW w:type="dxa" w:w="1417"/>
            <w:vAlign w:val="center"/>
            <w:shd w:val="clear" w:color="auto" w:fill="FFFFFF"/>
          </w:tcPr>
          <w:p>
            <w:pPr>
              <w:jc w:val="center"/>
            </w:pPr>
            <w:r>
              <w:rPr>
                <w:sz w:val="20"/>
              </w:rPr>
              <w:t>0.10</w:t>
            </w:r>
          </w:p>
        </w:tc>
        <w:tc>
          <w:tcPr>
            <w:tcW w:type="dxa" w:w="1984"/>
            <w:vAlign w:val="center"/>
            <w:shd w:val="clear" w:color="auto" w:fill="FFFFFF"/>
          </w:tcPr>
          <w:p>
            <w:pPr>
              <w:jc w:val="center"/>
            </w:pPr>
            <w:r>
              <w:rPr>
                <w:sz w:val="20"/>
              </w:rPr>
              <w:t>82.2</w:t>
            </w:r>
          </w:p>
        </w:tc>
        <w:tc>
          <w:tcPr>
            <w:tcW w:type="dxa" w:w="2551"/>
            <w:vAlign w:val="center"/>
            <w:shd w:val="clear" w:color="auto" w:fill="FFFFFF"/>
          </w:tcPr>
          <w:p>
            <w:pPr>
              <w:jc w:val="center"/>
            </w:pPr>
            <w:r>
              <w:rPr>
                <w:sz w:val="20"/>
              </w:rPr>
              <w:t>100.0</w:t>
            </w:r>
          </w:p>
        </w:tc>
        <w:tc>
          <w:tcPr>
            <w:tcW w:type="dxa" w:w="3118"/>
            <w:vAlign w:val="center"/>
            <w:shd w:val="clear" w:color="auto" w:fill="FFFFFF"/>
          </w:tcPr>
          <w:p>
            <w:pPr>
              <w:jc w:val="center"/>
            </w:pPr>
            <w:r>
              <w:rPr>
                <w:sz w:val="20"/>
              </w:rPr>
              <w:t>100.0</w:t>
            </w:r>
          </w:p>
        </w:tc>
      </w:tr>
      <w:tr>
        <w:tc>
          <w:tcPr>
            <w:tcW w:type="dxa" w:w="1417"/>
            <w:vAlign w:val="center"/>
            <w:shd w:val="clear" w:color="auto" w:fill="F2F2F2"/>
          </w:tcPr>
          <w:p>
            <w:pPr>
              <w:jc w:val="center"/>
            </w:pPr>
            <w:r>
              <w:rPr>
                <w:sz w:val="20"/>
              </w:rPr>
              <w:t>0.15</w:t>
            </w:r>
          </w:p>
        </w:tc>
        <w:tc>
          <w:tcPr>
            <w:tcW w:type="dxa" w:w="1984"/>
            <w:vAlign w:val="center"/>
            <w:shd w:val="clear" w:color="auto" w:fill="F2F2F2"/>
          </w:tcPr>
          <w:p>
            <w:pPr>
              <w:jc w:val="center"/>
            </w:pPr>
            <w:r>
              <w:rPr>
                <w:sz w:val="20"/>
              </w:rPr>
              <w:t>85.2</w:t>
            </w:r>
          </w:p>
        </w:tc>
        <w:tc>
          <w:tcPr>
            <w:tcW w:type="dxa" w:w="2551"/>
            <w:vAlign w:val="center"/>
            <w:shd w:val="clear" w:color="auto" w:fill="F2F2F2"/>
          </w:tcPr>
          <w:p>
            <w:pPr>
              <w:jc w:val="center"/>
            </w:pPr>
            <w:r>
              <w:rPr>
                <w:sz w:val="20"/>
              </w:rPr>
              <w:t>100.0</w:t>
            </w:r>
          </w:p>
        </w:tc>
        <w:tc>
          <w:tcPr>
            <w:tcW w:type="dxa" w:w="3118"/>
            <w:vAlign w:val="center"/>
            <w:shd w:val="clear" w:color="auto" w:fill="F2F2F2"/>
          </w:tcPr>
          <w:p>
            <w:pPr>
              <w:jc w:val="center"/>
            </w:pPr>
            <w:r>
              <w:rPr>
                <w:sz w:val="20"/>
              </w:rPr>
              <w:t>100.0</w:t>
            </w:r>
          </w:p>
        </w:tc>
      </w:tr>
      <w:tr>
        <w:tc>
          <w:tcPr>
            <w:tcW w:type="dxa" w:w="1417"/>
            <w:vAlign w:val="center"/>
            <w:shd w:val="clear" w:color="auto" w:fill="FFFFFF"/>
          </w:tcPr>
          <w:p>
            <w:pPr>
              <w:jc w:val="center"/>
            </w:pPr>
            <w:r>
              <w:rPr>
                <w:sz w:val="20"/>
              </w:rPr>
              <w:t>0.20</w:t>
            </w:r>
          </w:p>
        </w:tc>
        <w:tc>
          <w:tcPr>
            <w:tcW w:type="dxa" w:w="1984"/>
            <w:vAlign w:val="center"/>
            <w:shd w:val="clear" w:color="auto" w:fill="FFFFFF"/>
          </w:tcPr>
          <w:p>
            <w:pPr>
              <w:jc w:val="center"/>
            </w:pPr>
            <w:r>
              <w:rPr>
                <w:sz w:val="20"/>
              </w:rPr>
              <w:t>85.8</w:t>
            </w:r>
          </w:p>
        </w:tc>
        <w:tc>
          <w:tcPr>
            <w:tcW w:type="dxa" w:w="2551"/>
            <w:vAlign w:val="center"/>
            <w:shd w:val="clear" w:color="auto" w:fill="FFFFFF"/>
          </w:tcPr>
          <w:p>
            <w:pPr>
              <w:jc w:val="center"/>
            </w:pPr>
            <w:r>
              <w:rPr>
                <w:sz w:val="20"/>
              </w:rPr>
              <w:t>100.0</w:t>
            </w:r>
          </w:p>
        </w:tc>
        <w:tc>
          <w:tcPr>
            <w:tcW w:type="dxa" w:w="3118"/>
            <w:vAlign w:val="center"/>
            <w:shd w:val="clear" w:color="auto" w:fill="FFFFFF"/>
          </w:tcPr>
          <w:p>
            <w:pPr>
              <w:jc w:val="center"/>
            </w:pPr>
            <w:r>
              <w:rPr>
                <w:sz w:val="20"/>
              </w:rPr>
              <w:t>100.0</w:t>
            </w:r>
          </w:p>
        </w:tc>
      </w:tr>
      <w:tr>
        <w:tc>
          <w:tcPr>
            <w:tcW w:type="dxa" w:w="1417"/>
            <w:vAlign w:val="center"/>
            <w:shd w:val="clear" w:color="auto" w:fill="F2F2F2"/>
          </w:tcPr>
          <w:p>
            <w:pPr>
              <w:jc w:val="center"/>
            </w:pPr>
            <w:r>
              <w:rPr>
                <w:sz w:val="20"/>
              </w:rPr>
              <w:t>0.25</w:t>
            </w:r>
          </w:p>
        </w:tc>
        <w:tc>
          <w:tcPr>
            <w:tcW w:type="dxa" w:w="1984"/>
            <w:vAlign w:val="center"/>
            <w:shd w:val="clear" w:color="auto" w:fill="F2F2F2"/>
          </w:tcPr>
          <w:p>
            <w:pPr>
              <w:jc w:val="center"/>
            </w:pPr>
            <w:r>
              <w:rPr>
                <w:sz w:val="20"/>
              </w:rPr>
              <w:t>88.4</w:t>
            </w:r>
          </w:p>
        </w:tc>
        <w:tc>
          <w:tcPr>
            <w:tcW w:type="dxa" w:w="2551"/>
            <w:vAlign w:val="center"/>
            <w:shd w:val="clear" w:color="auto" w:fill="F2F2F2"/>
          </w:tcPr>
          <w:p>
            <w:pPr>
              <w:jc w:val="center"/>
            </w:pPr>
            <w:r>
              <w:rPr>
                <w:sz w:val="20"/>
              </w:rPr>
              <w:t>100.0</w:t>
            </w:r>
          </w:p>
        </w:tc>
        <w:tc>
          <w:tcPr>
            <w:tcW w:type="dxa" w:w="3118"/>
            <w:vAlign w:val="center"/>
            <w:shd w:val="clear" w:color="auto" w:fill="F2F2F2"/>
          </w:tcPr>
          <w:p>
            <w:pPr>
              <w:jc w:val="center"/>
            </w:pPr>
            <w:r>
              <w:rPr>
                <w:sz w:val="20"/>
              </w:rPr>
              <w:t>100.0</w:t>
            </w:r>
          </w:p>
        </w:tc>
      </w:tr>
      <w:tr>
        <w:tc>
          <w:tcPr>
            <w:tcW w:type="dxa" w:w="1417"/>
            <w:vAlign w:val="center"/>
            <w:shd w:val="clear" w:color="auto" w:fill="FFFFFF"/>
          </w:tcPr>
          <w:p>
            <w:pPr>
              <w:jc w:val="center"/>
            </w:pPr>
            <w:r>
              <w:rPr>
                <w:sz w:val="20"/>
              </w:rPr>
              <w:t>0.30</w:t>
            </w:r>
          </w:p>
        </w:tc>
        <w:tc>
          <w:tcPr>
            <w:tcW w:type="dxa" w:w="1984"/>
            <w:vAlign w:val="center"/>
            <w:shd w:val="clear" w:color="auto" w:fill="FFFFFF"/>
          </w:tcPr>
          <w:p>
            <w:pPr>
              <w:jc w:val="center"/>
            </w:pPr>
            <w:r>
              <w:rPr>
                <w:sz w:val="20"/>
              </w:rPr>
              <w:t>88.4</w:t>
            </w:r>
          </w:p>
        </w:tc>
        <w:tc>
          <w:tcPr>
            <w:tcW w:type="dxa" w:w="2551"/>
            <w:vAlign w:val="center"/>
            <w:shd w:val="clear" w:color="auto" w:fill="FFFFFF"/>
          </w:tcPr>
          <w:p>
            <w:pPr>
              <w:jc w:val="center"/>
            </w:pPr>
            <w:r>
              <w:rPr>
                <w:sz w:val="20"/>
              </w:rPr>
              <w:t>100.0</w:t>
            </w:r>
          </w:p>
        </w:tc>
        <w:tc>
          <w:tcPr>
            <w:tcW w:type="dxa" w:w="3118"/>
            <w:vAlign w:val="center"/>
            <w:shd w:val="clear" w:color="auto" w:fill="FFFFFF"/>
          </w:tcPr>
          <w:p>
            <w:pPr>
              <w:jc w:val="center"/>
            </w:pPr>
            <w:r>
              <w:rPr>
                <w:sz w:val="20"/>
              </w:rPr>
              <w:t>100.0</w:t>
            </w:r>
          </w:p>
        </w:tc>
      </w:tr>
    </w:tbl>
    <w:p/>
    <w:p>
      <w:pPr>
        <w:spacing w:before="120" w:after="40"/>
        <w:jc w:val="center"/>
      </w:pPr>
      <w:r>
        <w:drawing>
          <wp:inline xmlns:a="http://schemas.openxmlformats.org/drawingml/2006/main" xmlns:pic="http://schemas.openxmlformats.org/drawingml/2006/picture">
            <wp:extent cx="5760000" cy="2208744"/>
            <wp:docPr id="22" name="Picture 22"/>
            <wp:cNvGraphicFramePr>
              <a:graphicFrameLocks noChangeAspect="1"/>
            </wp:cNvGraphicFramePr>
            <a:graphic>
              <a:graphicData uri="http://schemas.openxmlformats.org/drawingml/2006/picture">
                <pic:pic>
                  <pic:nvPicPr>
                    <pic:cNvPr id="0" name="exp7_attack_comparison_asr.png"/>
                    <pic:cNvPicPr/>
                  </pic:nvPicPr>
                  <pic:blipFill>
                    <a:blip r:embed="rId30"/>
                    <a:stretch>
                      <a:fillRect/>
                    </a:stretch>
                  </pic:blipFill>
                  <pic:spPr>
                    <a:xfrm>
                      <a:off x="0" y="0"/>
                      <a:ext cx="5760000" cy="2208744"/>
                    </a:xfrm>
                    <a:prstGeom prst="rect"/>
                  </pic:spPr>
                </pic:pic>
              </a:graphicData>
            </a:graphic>
          </wp:inline>
        </w:drawing>
      </w:r>
    </w:p>
    <w:p>
      <w:pPr>
        <w:spacing w:after="240"/>
        <w:jc w:val="center"/>
      </w:pPr>
      <w:r>
        <w:rPr>
          <w:i/>
          <w:color w:val="555555"/>
          <w:sz w:val="20"/>
        </w:rPr>
        <w:t>Hình 22. So sánh ASR theo ε: FGSM / I-FGSM / MI-FGSM trên MNIST và CIFAR-10</w:t>
      </w:r>
    </w:p>
    <w:p>
      <w:pPr>
        <w:spacing w:after="120"/>
        <w:jc w:val="both"/>
      </w:pPr>
      <w:r>
        <w:rPr>
          <w:b w:val="0"/>
          <w:i w:val="0"/>
          <w:sz w:val="22"/>
        </w:rPr>
        <w:t>Nhận xét:</w:t>
      </w:r>
    </w:p>
    <w:p>
      <w:pPr>
        <w:pStyle w:val="ListBullet"/>
        <w:spacing w:after="60"/>
      </w:pPr>
      <w:r>
        <w:rPr>
          <w:sz w:val="22"/>
        </w:rPr>
        <w:t>I-FGSM và MI-FGSM đều vượt trội rõ rệt so với FGSM từ ε=0.05: ở ε=0.10 trên MNIST, FGSM đạt 28.5% trong khi I-FGSM/MI-FGSM đạt ~90%.</w:t>
      </w:r>
    </w:p>
    <w:p>
      <w:pPr>
        <w:pStyle w:val="ListBullet"/>
        <w:spacing w:after="60"/>
      </w:pPr>
      <w:r>
        <w:rPr>
          <w:sz w:val="22"/>
        </w:rPr>
        <w:t>Trên CIFAR-10, cả I-FGSM lẫn MI-FGSM đạt 100% ASR từ ε=0.10 — minh chứng rõ ràng cho giới hạn của FGSM 1 bước.</w:t>
      </w:r>
    </w:p>
    <w:p>
      <w:pPr>
        <w:pStyle w:val="ListBullet"/>
        <w:spacing w:after="60"/>
      </w:pPr>
      <w:r>
        <w:rPr>
          <w:sz w:val="22"/>
        </w:rPr>
        <w:t>I-FGSM và MI-FGSM cho ASR tương đương nhau (≤1pp chênh lệch) trong kịch bản white-box. Lợi thế của MI-FGSM thể hiện rõ hơn ở transferability.</w:t>
      </w:r>
    </w:p>
    <w:p>
      <w:pPr>
        <w:pStyle w:val="Heading2"/>
        <w:jc w:val="left"/>
      </w:pPr>
      <w:r>
        <w:rPr>
          <w:color w:val="1F3864"/>
        </w:rPr>
        <w:t>11.2. Hiệu quả theo số bước T</w:t>
      </w:r>
    </w:p>
    <w:p>
      <w:pPr>
        <w:spacing w:before="120" w:after="40"/>
        <w:jc w:val="center"/>
      </w:pPr>
      <w:r>
        <w:drawing>
          <wp:inline xmlns:a="http://schemas.openxmlformats.org/drawingml/2006/main" xmlns:pic="http://schemas.openxmlformats.org/drawingml/2006/picture">
            <wp:extent cx="5760000" cy="2208744"/>
            <wp:docPr id="23" name="Picture 23"/>
            <wp:cNvGraphicFramePr>
              <a:graphicFrameLocks noChangeAspect="1"/>
            </wp:cNvGraphicFramePr>
            <a:graphic>
              <a:graphicData uri="http://schemas.openxmlformats.org/drawingml/2006/picture">
                <pic:pic>
                  <pic:nvPicPr>
                    <pic:cNvPr id="0" name="exp7_steps_comparison.png"/>
                    <pic:cNvPicPr/>
                  </pic:nvPicPr>
                  <pic:blipFill>
                    <a:blip r:embed="rId31"/>
                    <a:stretch>
                      <a:fillRect/>
                    </a:stretch>
                  </pic:blipFill>
                  <pic:spPr>
                    <a:xfrm>
                      <a:off x="0" y="0"/>
                      <a:ext cx="5760000" cy="2208744"/>
                    </a:xfrm>
                    <a:prstGeom prst="rect"/>
                  </pic:spPr>
                </pic:pic>
              </a:graphicData>
            </a:graphic>
          </wp:inline>
        </w:drawing>
      </w:r>
    </w:p>
    <w:p>
      <w:pPr>
        <w:spacing w:after="240"/>
        <w:jc w:val="center"/>
      </w:pPr>
      <w:r>
        <w:rPr>
          <w:i/>
          <w:color w:val="555555"/>
          <w:sz w:val="20"/>
        </w:rPr>
        <w:t>Hình 23. I-FGSM vs MI-FGSM: ASR theo số bước T (ε=0.20)</w:t>
        <w:br/>
        <w:t>Cả hai hội tụ nhanh từ T=5 bước trên cả MNIST và CIFAR-10</w:t>
      </w:r>
    </w:p>
    <w:p>
      <w:pPr>
        <w:spacing w:after="120"/>
        <w:jc w:val="both"/>
      </w:pPr>
      <w:r>
        <w:rPr>
          <w:b w:val="0"/>
          <w:i w:val="0"/>
          <w:sz w:val="22"/>
        </w:rPr>
        <w:t>Cả I-FGSM và MI-FGSM hội tụ nhanh: chỉ cần T=5 bước đã đạt ~100% ASR trên CIFAR-10. Trên MNIST, T=5 đạt ~99.4–99.8% — thêm bước không cải thiện đáng kể. MI-FGSM không chậm hơn I-FGSM về số bước cần thiết.</w:t>
      </w:r>
    </w:p>
    <w:p>
      <w:pPr>
        <w:pStyle w:val="Heading2"/>
        <w:jc w:val="left"/>
      </w:pPr>
      <w:r>
        <w:rPr>
          <w:color w:val="1F3864"/>
        </w:rPr>
        <w:t>11.3. Transferability: FGSM vs MI-FGSM (CIFAR-10, ε=0.20)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vAlign w:val="center"/>
            <w:shd w:val="clear" w:color="auto" w:fill="1F3864"/>
          </w:tcPr>
          <w:p>
            <w:pPr>
              <w:jc w:val="center"/>
            </w:pPr>
            <w:r>
              <w:rPr>
                <w:b/>
                <w:color w:val="FFFFFF"/>
                <w:sz w:val="20"/>
              </w:rPr>
              <w:t>Source → Target</w:t>
            </w:r>
          </w:p>
        </w:tc>
        <w:tc>
          <w:tcPr>
            <w:tcW w:type="dxa" w:w="1984"/>
            <w:vAlign w:val="center"/>
            <w:shd w:val="clear" w:color="auto" w:fill="1F3864"/>
          </w:tcPr>
          <w:p>
            <w:pPr>
              <w:jc w:val="center"/>
            </w:pPr>
            <w:r>
              <w:rPr>
                <w:b/>
                <w:color w:val="FFFFFF"/>
                <w:sz w:val="20"/>
              </w:rPr>
              <w:t>FGSM ASR (%)</w:t>
            </w:r>
          </w:p>
        </w:tc>
        <w:tc>
          <w:tcPr>
            <w:tcW w:type="dxa" w:w="2268"/>
            <w:vAlign w:val="center"/>
            <w:shd w:val="clear" w:color="auto" w:fill="1F3864"/>
          </w:tcPr>
          <w:p>
            <w:pPr>
              <w:jc w:val="center"/>
            </w:pPr>
            <w:r>
              <w:rPr>
                <w:b/>
                <w:color w:val="FFFFFF"/>
                <w:sz w:val="20"/>
              </w:rPr>
              <w:t>MI-FGSM ASR (%)</w:t>
            </w:r>
          </w:p>
        </w:tc>
        <w:tc>
          <w:tcPr>
            <w:tcW w:type="dxa" w:w="1701"/>
            <w:vAlign w:val="center"/>
            <w:shd w:val="clear" w:color="auto" w:fill="1F3864"/>
          </w:tcPr>
          <w:p>
            <w:pPr>
              <w:jc w:val="center"/>
            </w:pPr>
            <w:r>
              <w:rPr>
                <w:b/>
                <w:color w:val="FFFFFF"/>
                <w:sz w:val="20"/>
              </w:rPr>
              <w:t>Tăng (pp)</w:t>
            </w:r>
          </w:p>
        </w:tc>
      </w:tr>
      <w:tr>
        <w:tc>
          <w:tcPr>
            <w:tcW w:type="dxa" w:w="3118"/>
            <w:vAlign w:val="center"/>
            <w:shd w:val="clear" w:color="auto" w:fill="F2F2F2"/>
          </w:tcPr>
          <w:p>
            <w:pPr>
              <w:jc w:val="center"/>
            </w:pPr>
            <w:r>
              <w:rPr>
                <w:sz w:val="20"/>
              </w:rPr>
              <w:t>SimpleCNN → SimpleCNN (WB)</w:t>
            </w:r>
          </w:p>
        </w:tc>
        <w:tc>
          <w:tcPr>
            <w:tcW w:type="dxa" w:w="1984"/>
            <w:vAlign w:val="center"/>
            <w:shd w:val="clear" w:color="auto" w:fill="F2F2F2"/>
          </w:tcPr>
          <w:p>
            <w:pPr>
              <w:jc w:val="center"/>
            </w:pPr>
            <w:r>
              <w:rPr>
                <w:sz w:val="20"/>
              </w:rPr>
              <w:t>95.2</w:t>
            </w:r>
          </w:p>
        </w:tc>
        <w:tc>
          <w:tcPr>
            <w:tcW w:type="dxa" w:w="2268"/>
            <w:vAlign w:val="center"/>
            <w:shd w:val="clear" w:color="auto" w:fill="F2F2F2"/>
          </w:tcPr>
          <w:p>
            <w:pPr>
              <w:jc w:val="center"/>
            </w:pPr>
            <w:r>
              <w:rPr>
                <w:sz w:val="20"/>
              </w:rPr>
              <w:t>100.0</w:t>
            </w:r>
          </w:p>
        </w:tc>
        <w:tc>
          <w:tcPr>
            <w:tcW w:type="dxa" w:w="1701"/>
            <w:vAlign w:val="center"/>
            <w:shd w:val="clear" w:color="auto" w:fill="F2F2F2"/>
          </w:tcPr>
          <w:p>
            <w:pPr>
              <w:jc w:val="center"/>
            </w:pPr>
            <w:r>
              <w:rPr>
                <w:sz w:val="20"/>
              </w:rPr>
              <w:t>+4.8</w:t>
            </w:r>
          </w:p>
        </w:tc>
      </w:tr>
      <w:tr>
        <w:tc>
          <w:tcPr>
            <w:tcW w:type="dxa" w:w="3118"/>
            <w:vAlign w:val="center"/>
            <w:shd w:val="clear" w:color="auto" w:fill="FFFFFF"/>
          </w:tcPr>
          <w:p>
            <w:pPr>
              <w:jc w:val="center"/>
            </w:pPr>
            <w:r>
              <w:rPr>
                <w:sz w:val="20"/>
              </w:rPr>
              <w:t>SimpleCNN → ResNet18</w:t>
            </w:r>
          </w:p>
        </w:tc>
        <w:tc>
          <w:tcPr>
            <w:tcW w:type="dxa" w:w="1984"/>
            <w:vAlign w:val="center"/>
            <w:shd w:val="clear" w:color="auto" w:fill="FFFFFF"/>
          </w:tcPr>
          <w:p>
            <w:pPr>
              <w:jc w:val="center"/>
            </w:pPr>
            <w:r>
              <w:rPr>
                <w:sz w:val="20"/>
              </w:rPr>
              <w:t>88.8</w:t>
            </w:r>
          </w:p>
        </w:tc>
        <w:tc>
          <w:tcPr>
            <w:tcW w:type="dxa" w:w="2268"/>
            <w:vAlign w:val="center"/>
            <w:shd w:val="clear" w:color="auto" w:fill="FFFFFF"/>
          </w:tcPr>
          <w:p>
            <w:pPr>
              <w:jc w:val="center"/>
            </w:pPr>
            <w:r>
              <w:rPr>
                <w:sz w:val="20"/>
              </w:rPr>
              <w:t>96.3</w:t>
            </w:r>
          </w:p>
        </w:tc>
        <w:tc>
          <w:tcPr>
            <w:tcW w:type="dxa" w:w="1701"/>
            <w:vAlign w:val="center"/>
            <w:shd w:val="clear" w:color="auto" w:fill="FFFFFF"/>
          </w:tcPr>
          <w:p>
            <w:pPr>
              <w:jc w:val="center"/>
            </w:pPr>
            <w:r>
              <w:rPr>
                <w:sz w:val="20"/>
              </w:rPr>
              <w:t>+7.5</w:t>
            </w:r>
          </w:p>
        </w:tc>
      </w:tr>
      <w:tr>
        <w:tc>
          <w:tcPr>
            <w:tcW w:type="dxa" w:w="3118"/>
            <w:vAlign w:val="center"/>
            <w:shd w:val="clear" w:color="auto" w:fill="F2F2F2"/>
          </w:tcPr>
          <w:p>
            <w:pPr>
              <w:jc w:val="center"/>
            </w:pPr>
            <w:r>
              <w:rPr>
                <w:sz w:val="20"/>
              </w:rPr>
              <w:t>SimpleCNN → MobileNetV2</w:t>
            </w:r>
          </w:p>
        </w:tc>
        <w:tc>
          <w:tcPr>
            <w:tcW w:type="dxa" w:w="1984"/>
            <w:vAlign w:val="center"/>
            <w:shd w:val="clear" w:color="auto" w:fill="F2F2F2"/>
          </w:tcPr>
          <w:p>
            <w:pPr>
              <w:jc w:val="center"/>
            </w:pPr>
            <w:r>
              <w:rPr>
                <w:sz w:val="20"/>
              </w:rPr>
              <w:t>87.2</w:t>
            </w:r>
          </w:p>
        </w:tc>
        <w:tc>
          <w:tcPr>
            <w:tcW w:type="dxa" w:w="2268"/>
            <w:vAlign w:val="center"/>
            <w:shd w:val="clear" w:color="auto" w:fill="F2F2F2"/>
          </w:tcPr>
          <w:p>
            <w:pPr>
              <w:jc w:val="center"/>
            </w:pPr>
            <w:r>
              <w:rPr>
                <w:sz w:val="20"/>
              </w:rPr>
              <w:t>100.0</w:t>
            </w:r>
          </w:p>
        </w:tc>
        <w:tc>
          <w:tcPr>
            <w:tcW w:type="dxa" w:w="1701"/>
            <w:vAlign w:val="center"/>
            <w:shd w:val="clear" w:color="auto" w:fill="F2F2F2"/>
          </w:tcPr>
          <w:p>
            <w:pPr>
              <w:jc w:val="center"/>
            </w:pPr>
            <w:r>
              <w:rPr>
                <w:sz w:val="20"/>
              </w:rPr>
              <w:t>+12.8</w:t>
            </w:r>
          </w:p>
        </w:tc>
      </w:tr>
      <w:tr>
        <w:tc>
          <w:tcPr>
            <w:tcW w:type="dxa" w:w="3118"/>
            <w:vAlign w:val="center"/>
            <w:shd w:val="clear" w:color="auto" w:fill="FFFFFF"/>
          </w:tcPr>
          <w:p>
            <w:pPr>
              <w:jc w:val="center"/>
            </w:pPr>
            <w:r>
              <w:rPr>
                <w:sz w:val="20"/>
              </w:rPr>
              <w:t>ResNet18 → SimpleCNN</w:t>
            </w:r>
          </w:p>
        </w:tc>
        <w:tc>
          <w:tcPr>
            <w:tcW w:type="dxa" w:w="1984"/>
            <w:vAlign w:val="center"/>
            <w:shd w:val="clear" w:color="auto" w:fill="FFFFFF"/>
          </w:tcPr>
          <w:p>
            <w:pPr>
              <w:jc w:val="center"/>
            </w:pPr>
            <w:r>
              <w:rPr>
                <w:sz w:val="20"/>
              </w:rPr>
              <w:t>97.2</w:t>
            </w:r>
          </w:p>
        </w:tc>
        <w:tc>
          <w:tcPr>
            <w:tcW w:type="dxa" w:w="2268"/>
            <w:vAlign w:val="center"/>
            <w:shd w:val="clear" w:color="auto" w:fill="FFFFFF"/>
          </w:tcPr>
          <w:p>
            <w:pPr>
              <w:jc w:val="center"/>
            </w:pPr>
            <w:r>
              <w:rPr>
                <w:sz w:val="20"/>
              </w:rPr>
              <w:t>95.0</w:t>
            </w:r>
          </w:p>
        </w:tc>
        <w:tc>
          <w:tcPr>
            <w:tcW w:type="dxa" w:w="1701"/>
            <w:vAlign w:val="center"/>
            <w:shd w:val="clear" w:color="auto" w:fill="FFFFFF"/>
          </w:tcPr>
          <w:p>
            <w:pPr>
              <w:jc w:val="center"/>
            </w:pPr>
            <w:r>
              <w:rPr>
                <w:sz w:val="20"/>
              </w:rPr>
              <w:t>−2.2</w:t>
            </w:r>
          </w:p>
        </w:tc>
      </w:tr>
      <w:tr>
        <w:tc>
          <w:tcPr>
            <w:tcW w:type="dxa" w:w="3118"/>
            <w:vAlign w:val="center"/>
            <w:shd w:val="clear" w:color="auto" w:fill="F2F2F2"/>
          </w:tcPr>
          <w:p>
            <w:pPr>
              <w:jc w:val="center"/>
            </w:pPr>
            <w:r>
              <w:rPr>
                <w:sz w:val="20"/>
              </w:rPr>
              <w:t>ResNet18 → ResNet18 (WB)</w:t>
            </w:r>
          </w:p>
        </w:tc>
        <w:tc>
          <w:tcPr>
            <w:tcW w:type="dxa" w:w="1984"/>
            <w:vAlign w:val="center"/>
            <w:shd w:val="clear" w:color="auto" w:fill="F2F2F2"/>
          </w:tcPr>
          <w:p>
            <w:pPr>
              <w:jc w:val="center"/>
            </w:pPr>
            <w:r>
              <w:rPr>
                <w:sz w:val="20"/>
              </w:rPr>
              <w:t>90.5</w:t>
            </w:r>
          </w:p>
        </w:tc>
        <w:tc>
          <w:tcPr>
            <w:tcW w:type="dxa" w:w="2268"/>
            <w:vAlign w:val="center"/>
            <w:shd w:val="clear" w:color="auto" w:fill="F2F2F2"/>
          </w:tcPr>
          <w:p>
            <w:pPr>
              <w:jc w:val="center"/>
            </w:pPr>
            <w:r>
              <w:rPr>
                <w:sz w:val="20"/>
              </w:rPr>
              <w:t>100.0</w:t>
            </w:r>
          </w:p>
        </w:tc>
        <w:tc>
          <w:tcPr>
            <w:tcW w:type="dxa" w:w="1701"/>
            <w:vAlign w:val="center"/>
            <w:shd w:val="clear" w:color="auto" w:fill="F2F2F2"/>
          </w:tcPr>
          <w:p>
            <w:pPr>
              <w:jc w:val="center"/>
            </w:pPr>
            <w:r>
              <w:rPr>
                <w:sz w:val="20"/>
              </w:rPr>
              <w:t>+9.5</w:t>
            </w:r>
          </w:p>
        </w:tc>
      </w:tr>
      <w:tr>
        <w:tc>
          <w:tcPr>
            <w:tcW w:type="dxa" w:w="3118"/>
            <w:vAlign w:val="center"/>
            <w:shd w:val="clear" w:color="auto" w:fill="FFFFFF"/>
          </w:tcPr>
          <w:p>
            <w:pPr>
              <w:jc w:val="center"/>
            </w:pPr>
            <w:r>
              <w:rPr>
                <w:sz w:val="20"/>
              </w:rPr>
              <w:t>ResNet18 → MobileNetV2</w:t>
            </w:r>
          </w:p>
        </w:tc>
        <w:tc>
          <w:tcPr>
            <w:tcW w:type="dxa" w:w="1984"/>
            <w:vAlign w:val="center"/>
            <w:shd w:val="clear" w:color="auto" w:fill="FFFFFF"/>
          </w:tcPr>
          <w:p>
            <w:pPr>
              <w:jc w:val="center"/>
            </w:pPr>
            <w:r>
              <w:rPr>
                <w:sz w:val="20"/>
              </w:rPr>
              <w:t>90.5</w:t>
            </w:r>
          </w:p>
        </w:tc>
        <w:tc>
          <w:tcPr>
            <w:tcW w:type="dxa" w:w="2268"/>
            <w:vAlign w:val="center"/>
            <w:shd w:val="clear" w:color="auto" w:fill="FFFFFF"/>
          </w:tcPr>
          <w:p>
            <w:pPr>
              <w:jc w:val="center"/>
            </w:pPr>
            <w:r>
              <w:rPr>
                <w:sz w:val="20"/>
              </w:rPr>
              <w:t>92.2</w:t>
            </w:r>
          </w:p>
        </w:tc>
        <w:tc>
          <w:tcPr>
            <w:tcW w:type="dxa" w:w="1701"/>
            <w:vAlign w:val="center"/>
            <w:shd w:val="clear" w:color="auto" w:fill="FFFFFF"/>
          </w:tcPr>
          <w:p>
            <w:pPr>
              <w:jc w:val="center"/>
            </w:pPr>
            <w:r>
              <w:rPr>
                <w:sz w:val="20"/>
              </w:rPr>
              <w:t>+1.7</w:t>
            </w:r>
          </w:p>
        </w:tc>
      </w:tr>
      <w:tr>
        <w:tc>
          <w:tcPr>
            <w:tcW w:type="dxa" w:w="3118"/>
            <w:vAlign w:val="center"/>
            <w:shd w:val="clear" w:color="auto" w:fill="F2F2F2"/>
          </w:tcPr>
          <w:p>
            <w:pPr>
              <w:jc w:val="center"/>
            </w:pPr>
            <w:r>
              <w:rPr>
                <w:sz w:val="20"/>
              </w:rPr>
              <w:t>MobileNetV2 → SimpleCNN</w:t>
            </w:r>
          </w:p>
        </w:tc>
        <w:tc>
          <w:tcPr>
            <w:tcW w:type="dxa" w:w="1984"/>
            <w:vAlign w:val="center"/>
            <w:shd w:val="clear" w:color="auto" w:fill="F2F2F2"/>
          </w:tcPr>
          <w:p>
            <w:pPr>
              <w:jc w:val="center"/>
            </w:pPr>
            <w:r>
              <w:rPr>
                <w:sz w:val="20"/>
              </w:rPr>
              <w:t>97.9</w:t>
            </w:r>
          </w:p>
        </w:tc>
        <w:tc>
          <w:tcPr>
            <w:tcW w:type="dxa" w:w="2268"/>
            <w:vAlign w:val="center"/>
            <w:shd w:val="clear" w:color="auto" w:fill="F2F2F2"/>
          </w:tcPr>
          <w:p>
            <w:pPr>
              <w:jc w:val="center"/>
            </w:pPr>
            <w:r>
              <w:rPr>
                <w:sz w:val="20"/>
              </w:rPr>
              <w:t>95.7</w:t>
            </w:r>
          </w:p>
        </w:tc>
        <w:tc>
          <w:tcPr>
            <w:tcW w:type="dxa" w:w="1701"/>
            <w:vAlign w:val="center"/>
            <w:shd w:val="clear" w:color="auto" w:fill="F2F2F2"/>
          </w:tcPr>
          <w:p>
            <w:pPr>
              <w:jc w:val="center"/>
            </w:pPr>
            <w:r>
              <w:rPr>
                <w:sz w:val="20"/>
              </w:rPr>
              <w:t>−2.2</w:t>
            </w:r>
          </w:p>
        </w:tc>
      </w:tr>
      <w:tr>
        <w:tc>
          <w:tcPr>
            <w:tcW w:type="dxa" w:w="3118"/>
            <w:vAlign w:val="center"/>
            <w:shd w:val="clear" w:color="auto" w:fill="FFFFFF"/>
          </w:tcPr>
          <w:p>
            <w:pPr>
              <w:jc w:val="center"/>
            </w:pPr>
            <w:r>
              <w:rPr>
                <w:sz w:val="20"/>
              </w:rPr>
              <w:t>MobileNetV2 → ResNet18</w:t>
            </w:r>
          </w:p>
        </w:tc>
        <w:tc>
          <w:tcPr>
            <w:tcW w:type="dxa" w:w="1984"/>
            <w:vAlign w:val="center"/>
            <w:shd w:val="clear" w:color="auto" w:fill="FFFFFF"/>
          </w:tcPr>
          <w:p>
            <w:pPr>
              <w:jc w:val="center"/>
            </w:pPr>
            <w:r>
              <w:rPr>
                <w:sz w:val="20"/>
              </w:rPr>
              <w:t>86.2</w:t>
            </w:r>
          </w:p>
        </w:tc>
        <w:tc>
          <w:tcPr>
            <w:tcW w:type="dxa" w:w="2268"/>
            <w:vAlign w:val="center"/>
            <w:shd w:val="clear" w:color="auto" w:fill="FFFFFF"/>
          </w:tcPr>
          <w:p>
            <w:pPr>
              <w:jc w:val="center"/>
            </w:pPr>
            <w:r>
              <w:rPr>
                <w:sz w:val="20"/>
              </w:rPr>
              <w:t>88.8</w:t>
            </w:r>
          </w:p>
        </w:tc>
        <w:tc>
          <w:tcPr>
            <w:tcW w:type="dxa" w:w="1701"/>
            <w:vAlign w:val="center"/>
            <w:shd w:val="clear" w:color="auto" w:fill="FFFFFF"/>
          </w:tcPr>
          <w:p>
            <w:pPr>
              <w:jc w:val="center"/>
            </w:pPr>
            <w:r>
              <w:rPr>
                <w:sz w:val="20"/>
              </w:rPr>
              <w:t>+2.6</w:t>
            </w:r>
          </w:p>
        </w:tc>
      </w:tr>
      <w:tr>
        <w:tc>
          <w:tcPr>
            <w:tcW w:type="dxa" w:w="3118"/>
            <w:vAlign w:val="center"/>
            <w:shd w:val="clear" w:color="auto" w:fill="F2F2F2"/>
          </w:tcPr>
          <w:p>
            <w:pPr>
              <w:jc w:val="center"/>
            </w:pPr>
            <w:r>
              <w:rPr>
                <w:sz w:val="20"/>
              </w:rPr>
              <w:t>MobileNetV2 → MobileNetV2 (WB)</w:t>
            </w:r>
          </w:p>
        </w:tc>
        <w:tc>
          <w:tcPr>
            <w:tcW w:type="dxa" w:w="1984"/>
            <w:vAlign w:val="center"/>
            <w:shd w:val="clear" w:color="auto" w:fill="F2F2F2"/>
          </w:tcPr>
          <w:p>
            <w:pPr>
              <w:jc w:val="center"/>
            </w:pPr>
            <w:r>
              <w:rPr>
                <w:sz w:val="20"/>
              </w:rPr>
              <w:t>95.2</w:t>
            </w:r>
          </w:p>
        </w:tc>
        <w:tc>
          <w:tcPr>
            <w:tcW w:type="dxa" w:w="2268"/>
            <w:vAlign w:val="center"/>
            <w:shd w:val="clear" w:color="auto" w:fill="F2F2F2"/>
          </w:tcPr>
          <w:p>
            <w:pPr>
              <w:jc w:val="center"/>
            </w:pPr>
            <w:r>
              <w:rPr>
                <w:sz w:val="20"/>
              </w:rPr>
              <w:t>100.0</w:t>
            </w:r>
          </w:p>
        </w:tc>
        <w:tc>
          <w:tcPr>
            <w:tcW w:type="dxa" w:w="1701"/>
            <w:vAlign w:val="center"/>
            <w:shd w:val="clear" w:color="auto" w:fill="F2F2F2"/>
          </w:tcPr>
          <w:p>
            <w:pPr>
              <w:jc w:val="center"/>
            </w:pPr>
            <w:r>
              <w:rPr>
                <w:sz w:val="20"/>
              </w:rPr>
              <w:t>+4.8</w:t>
            </w:r>
          </w:p>
        </w:tc>
      </w:tr>
    </w:tbl>
    <w:p/>
    <w:p>
      <w:pPr>
        <w:spacing w:before="120" w:after="40"/>
        <w:jc w:val="center"/>
      </w:pPr>
      <w:r>
        <w:drawing>
          <wp:inline xmlns:a="http://schemas.openxmlformats.org/drawingml/2006/main" xmlns:pic="http://schemas.openxmlformats.org/drawingml/2006/picture">
            <wp:extent cx="5760000" cy="2196686"/>
            <wp:docPr id="24" name="Picture 24"/>
            <wp:cNvGraphicFramePr>
              <a:graphicFrameLocks noChangeAspect="1"/>
            </wp:cNvGraphicFramePr>
            <a:graphic>
              <a:graphicData uri="http://schemas.openxmlformats.org/drawingml/2006/picture">
                <pic:pic>
                  <pic:nvPicPr>
                    <pic:cNvPr id="0" name="exp7_transfer_fgsm_vs_mifgsm.png"/>
                    <pic:cNvPicPr/>
                  </pic:nvPicPr>
                  <pic:blipFill>
                    <a:blip r:embed="rId32"/>
                    <a:stretch>
                      <a:fillRect/>
                    </a:stretch>
                  </pic:blipFill>
                  <pic:spPr>
                    <a:xfrm>
                      <a:off x="0" y="0"/>
                      <a:ext cx="5760000" cy="2196686"/>
                    </a:xfrm>
                    <a:prstGeom prst="rect"/>
                  </pic:spPr>
                </pic:pic>
              </a:graphicData>
            </a:graphic>
          </wp:inline>
        </w:drawing>
      </w:r>
    </w:p>
    <w:p>
      <w:pPr>
        <w:spacing w:after="240"/>
        <w:jc w:val="center"/>
      </w:pPr>
      <w:r>
        <w:rPr>
          <w:i/>
          <w:color w:val="555555"/>
          <w:sz w:val="20"/>
        </w:rPr>
        <w:t>Hình 24. Transferability CIFAR-10: FGSM vs MI-FGSM (ε=0.20)</w:t>
        <w:br/>
        <w:t>Trái: FGSM ASR | Phải: MI-FGSM ASR | (WB) = White-box</w:t>
      </w:r>
    </w:p>
    <w:p>
      <w:pPr>
        <w:spacing w:after="120"/>
        <w:jc w:val="both"/>
      </w:pPr>
      <w:r>
        <w:rPr>
          <w:b w:val="0"/>
          <w:i w:val="0"/>
          <w:sz w:val="22"/>
        </w:rPr>
        <w:t>Nhận xét:</w:t>
      </w:r>
    </w:p>
    <w:p>
      <w:pPr>
        <w:pStyle w:val="ListBullet"/>
        <w:spacing w:after="60"/>
      </w:pPr>
      <w:r>
        <w:rPr>
          <w:sz w:val="22"/>
        </w:rPr>
        <w:t>MI-FGSM cải thiện white-box ASR lên 100% với mọi kiến trúc (so với 90–97% của FGSM), nhờ momentum giúp vượt qua các flat region trong loss landscape.</w:t>
      </w:r>
    </w:p>
    <w:p>
      <w:pPr>
        <w:pStyle w:val="ListBullet"/>
        <w:spacing w:after="60"/>
      </w:pPr>
      <w:r>
        <w:rPr>
          <w:sz w:val="22"/>
        </w:rPr>
        <w:t>Transfer attack MI-FGSM nhìn chung cao hơn FGSM (đặc biệt SimpleCNN→MobileNetV2 +12.8pp), xác nhận lý thuyết của Dong et al.: momentum tích lũy gradient ổn định hơn, tìm được hướng tổng quát hơn và ít bị overfit vào decision boundary của source model.</w:t>
      </w:r>
    </w:p>
    <w:p>
      <w:pPr>
        <w:pStyle w:val="ListBullet"/>
        <w:spacing w:after="60"/>
      </w:pPr>
      <w:r>
        <w:rPr>
          <w:sz w:val="22"/>
        </w:rPr>
        <w:t>Một vài cặp MI-FGSM thấp hơn FGSM nhẹ (−2.2pp): do momentum đôi khi hội tụ quá nhanh vào hướng tốt cho source model nhưng không transfer sang kiến trúc khác.</w:t>
      </w:r>
    </w:p>
    <w:p>
      <w:pPr>
        <w:pStyle w:val="Heading1"/>
        <w:jc w:val="left"/>
      </w:pPr>
      <w:r>
        <w:rPr>
          <w:color w:val="1F3864"/>
        </w:rPr>
        <w:t>12. Thực nghiệm 6 — Per-class Vulnerability Analysis</w:t>
      </w:r>
    </w:p>
    <w:p>
      <w:pPr>
        <w:spacing w:after="120"/>
        <w:jc w:val="both"/>
      </w:pPr>
      <w:r>
        <w:rPr>
          <w:b w:val="0"/>
          <w:i w:val="0"/>
          <w:sz w:val="22"/>
        </w:rPr>
        <w:t>Thực nghiệm này phân tích: với cùng ε=0.20, những lớp nào trong MNIST và CIFAR-10 dễ bị FGSM nhất và lớp nào kháng tốt nhất? Hiểu biết này giúp xác định điểm yếu cụ thể trong mô hình và thiết kế defense nhắm mục tiêu.</w:t>
      </w:r>
    </w:p>
    <w:p>
      <w:pPr>
        <w:pStyle w:val="Heading2"/>
        <w:jc w:val="left"/>
      </w:pPr>
      <w:r>
        <w:rPr>
          <w:color w:val="1F3864"/>
        </w:rPr>
        <w:t>12.1. MNIST — Per-class ASR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vAlign w:val="center"/>
            <w:shd w:val="clear" w:color="auto" w:fill="1F3864"/>
          </w:tcPr>
          <w:p>
            <w:pPr>
              <w:jc w:val="center"/>
            </w:pPr>
            <w:r>
              <w:rPr>
                <w:b/>
                <w:color w:val="FFFFFF"/>
                <w:sz w:val="20"/>
              </w:rPr>
              <w:t>Xếp hạng</w:t>
            </w:r>
          </w:p>
        </w:tc>
        <w:tc>
          <w:tcPr>
            <w:tcW w:type="dxa" w:w="1134"/>
            <w:vAlign w:val="center"/>
            <w:shd w:val="clear" w:color="auto" w:fill="1F3864"/>
          </w:tcPr>
          <w:p>
            <w:pPr>
              <w:jc w:val="center"/>
            </w:pPr>
            <w:r>
              <w:rPr>
                <w:b/>
                <w:color w:val="FFFFFF"/>
                <w:sz w:val="20"/>
              </w:rPr>
              <w:t>Class</w:t>
            </w:r>
          </w:p>
        </w:tc>
        <w:tc>
          <w:tcPr>
            <w:tcW w:type="dxa" w:w="1417"/>
            <w:vAlign w:val="center"/>
            <w:shd w:val="clear" w:color="auto" w:fill="1F3864"/>
          </w:tcPr>
          <w:p>
            <w:pPr>
              <w:jc w:val="center"/>
            </w:pPr>
            <w:r>
              <w:rPr>
                <w:b/>
                <w:color w:val="FFFFFF"/>
                <w:sz w:val="20"/>
              </w:rPr>
              <w:t>ASR (%)</w:t>
            </w:r>
          </w:p>
        </w:tc>
        <w:tc>
          <w:tcPr>
            <w:tcW w:type="dxa" w:w="5386"/>
            <w:vAlign w:val="center"/>
            <w:shd w:val="clear" w:color="auto" w:fill="1F3864"/>
          </w:tcPr>
          <w:p>
            <w:pPr>
              <w:jc w:val="center"/>
            </w:pPr>
            <w:r>
              <w:rPr>
                <w:b/>
                <w:color w:val="FFFFFF"/>
                <w:sz w:val="20"/>
              </w:rPr>
              <w:t>Nhận xét</w:t>
            </w:r>
          </w:p>
        </w:tc>
      </w:tr>
      <w:tr>
        <w:tc>
          <w:tcPr>
            <w:tcW w:type="dxa" w:w="1701"/>
            <w:vAlign w:val="center"/>
            <w:shd w:val="clear" w:color="auto" w:fill="F2F2F2"/>
          </w:tcPr>
          <w:p>
            <w:pPr>
              <w:jc w:val="center"/>
            </w:pPr>
            <w:r>
              <w:rPr>
                <w:sz w:val="20"/>
              </w:rPr>
              <w:t>1 (dễ nhất)</w:t>
            </w:r>
          </w:p>
        </w:tc>
        <w:tc>
          <w:tcPr>
            <w:tcW w:type="dxa" w:w="1134"/>
            <w:vAlign w:val="center"/>
            <w:shd w:val="clear" w:color="auto" w:fill="F2F2F2"/>
          </w:tcPr>
          <w:p>
            <w:pPr>
              <w:jc w:val="center"/>
            </w:pPr>
            <w:r>
              <w:rPr>
                <w:sz w:val="20"/>
              </w:rPr>
              <w:t>1</w:t>
            </w:r>
          </w:p>
        </w:tc>
        <w:tc>
          <w:tcPr>
            <w:tcW w:type="dxa" w:w="1417"/>
            <w:vAlign w:val="center"/>
            <w:shd w:val="clear" w:color="auto" w:fill="F2F2F2"/>
          </w:tcPr>
          <w:p>
            <w:pPr>
              <w:jc w:val="center"/>
            </w:pPr>
            <w:r>
              <w:rPr>
                <w:sz w:val="20"/>
              </w:rPr>
              <w:t>100.0</w:t>
            </w:r>
          </w:p>
        </w:tc>
        <w:tc>
          <w:tcPr>
            <w:tcW w:type="dxa" w:w="5386"/>
            <w:vAlign w:val="center"/>
            <w:shd w:val="clear" w:color="auto" w:fill="F2F2F2"/>
          </w:tcPr>
          <w:p>
            <w:pPr>
              <w:jc w:val="center"/>
            </w:pPr>
            <w:r>
              <w:rPr>
                <w:sz w:val="20"/>
              </w:rPr>
              <w:t>Chữ số đơn giản, ít đặc trưng phân biệt</w:t>
            </w:r>
          </w:p>
        </w:tc>
      </w:tr>
      <w:tr>
        <w:tc>
          <w:tcPr>
            <w:tcW w:type="dxa" w:w="1701"/>
            <w:vAlign w:val="center"/>
            <w:shd w:val="clear" w:color="auto" w:fill="FFFFFF"/>
          </w:tcPr>
          <w:p>
            <w:pPr>
              <w:jc w:val="center"/>
            </w:pPr>
            <w:r>
              <w:rPr>
                <w:sz w:val="20"/>
              </w:rPr>
              <w:t>2</w:t>
            </w:r>
          </w:p>
        </w:tc>
        <w:tc>
          <w:tcPr>
            <w:tcW w:type="dxa" w:w="1134"/>
            <w:vAlign w:val="center"/>
            <w:shd w:val="clear" w:color="auto" w:fill="FFFFFF"/>
          </w:tcPr>
          <w:p>
            <w:pPr>
              <w:jc w:val="center"/>
            </w:pPr>
            <w:r>
              <w:rPr>
                <w:sz w:val="20"/>
              </w:rPr>
              <w:t>9</w:t>
            </w:r>
          </w:p>
        </w:tc>
        <w:tc>
          <w:tcPr>
            <w:tcW w:type="dxa" w:w="1417"/>
            <w:vAlign w:val="center"/>
            <w:shd w:val="clear" w:color="auto" w:fill="FFFFFF"/>
          </w:tcPr>
          <w:p>
            <w:pPr>
              <w:jc w:val="center"/>
            </w:pPr>
            <w:r>
              <w:rPr>
                <w:sz w:val="20"/>
              </w:rPr>
              <w:t>96.0</w:t>
            </w:r>
          </w:p>
        </w:tc>
        <w:tc>
          <w:tcPr>
            <w:tcW w:type="dxa" w:w="5386"/>
            <w:vAlign w:val="center"/>
            <w:shd w:val="clear" w:color="auto" w:fill="FFFFFF"/>
          </w:tcPr>
          <w:p>
            <w:pPr>
              <w:jc w:val="center"/>
            </w:pPr>
            <w:r>
              <w:rPr>
                <w:sz w:val="20"/>
              </w:rPr>
              <w:t>Dễ nhầm với 4, 7</w:t>
            </w:r>
          </w:p>
        </w:tc>
      </w:tr>
      <w:tr>
        <w:tc>
          <w:tcPr>
            <w:tcW w:type="dxa" w:w="1701"/>
            <w:vAlign w:val="center"/>
            <w:shd w:val="clear" w:color="auto" w:fill="F2F2F2"/>
          </w:tcPr>
          <w:p>
            <w:pPr>
              <w:jc w:val="center"/>
            </w:pPr>
            <w:r>
              <w:rPr>
                <w:sz w:val="20"/>
              </w:rPr>
              <w:t>3</w:t>
            </w:r>
          </w:p>
        </w:tc>
        <w:tc>
          <w:tcPr>
            <w:tcW w:type="dxa" w:w="1134"/>
            <w:vAlign w:val="center"/>
            <w:shd w:val="clear" w:color="auto" w:fill="F2F2F2"/>
          </w:tcPr>
          <w:p>
            <w:pPr>
              <w:jc w:val="center"/>
            </w:pPr>
            <w:r>
              <w:rPr>
                <w:sz w:val="20"/>
              </w:rPr>
              <w:t>7</w:t>
            </w:r>
          </w:p>
        </w:tc>
        <w:tc>
          <w:tcPr>
            <w:tcW w:type="dxa" w:w="1417"/>
            <w:vAlign w:val="center"/>
            <w:shd w:val="clear" w:color="auto" w:fill="F2F2F2"/>
          </w:tcPr>
          <w:p>
            <w:pPr>
              <w:jc w:val="center"/>
            </w:pPr>
            <w:r>
              <w:rPr>
                <w:sz w:val="20"/>
              </w:rPr>
              <w:t>94.1</w:t>
            </w:r>
          </w:p>
        </w:tc>
        <w:tc>
          <w:tcPr>
            <w:tcW w:type="dxa" w:w="5386"/>
            <w:vAlign w:val="center"/>
            <w:shd w:val="clear" w:color="auto" w:fill="F2F2F2"/>
          </w:tcPr>
          <w:p>
            <w:pPr>
              <w:jc w:val="center"/>
            </w:pPr>
            <w:r>
              <w:rPr>
                <w:sz w:val="20"/>
              </w:rPr>
              <w:t>Cấu trúc đơn giản, nhầm với 1, 9</w:t>
            </w:r>
          </w:p>
        </w:tc>
      </w:tr>
      <w:tr>
        <w:tc>
          <w:tcPr>
            <w:tcW w:type="dxa" w:w="1701"/>
            <w:vAlign w:val="center"/>
            <w:shd w:val="clear" w:color="auto" w:fill="FFFFFF"/>
          </w:tcPr>
          <w:p>
            <w:pPr>
              <w:jc w:val="center"/>
            </w:pPr>
            <w:r>
              <w:rPr>
                <w:sz w:val="20"/>
              </w:rPr>
              <w:t>4</w:t>
            </w:r>
          </w:p>
        </w:tc>
        <w:tc>
          <w:tcPr>
            <w:tcW w:type="dxa" w:w="1134"/>
            <w:vAlign w:val="center"/>
            <w:shd w:val="clear" w:color="auto" w:fill="FFFFFF"/>
          </w:tcPr>
          <w:p>
            <w:pPr>
              <w:jc w:val="center"/>
            </w:pPr>
            <w:r>
              <w:rPr>
                <w:sz w:val="20"/>
              </w:rPr>
              <w:t>4</w:t>
            </w:r>
          </w:p>
        </w:tc>
        <w:tc>
          <w:tcPr>
            <w:tcW w:type="dxa" w:w="1417"/>
            <w:vAlign w:val="center"/>
            <w:shd w:val="clear" w:color="auto" w:fill="FFFFFF"/>
          </w:tcPr>
          <w:p>
            <w:pPr>
              <w:jc w:val="center"/>
            </w:pPr>
            <w:r>
              <w:rPr>
                <w:sz w:val="20"/>
              </w:rPr>
              <w:t>93.5</w:t>
            </w:r>
          </w:p>
        </w:tc>
        <w:tc>
          <w:tcPr>
            <w:tcW w:type="dxa" w:w="5386"/>
            <w:vAlign w:val="center"/>
            <w:shd w:val="clear" w:color="auto" w:fill="FFFFFF"/>
          </w:tcPr>
          <w:p>
            <w:pPr>
              <w:jc w:val="center"/>
            </w:pPr>
            <w:r>
              <w:rPr>
                <w:sz w:val="20"/>
              </w:rPr>
              <w:t>Nhiều biến thể viết tay</w:t>
            </w:r>
          </w:p>
        </w:tc>
      </w:tr>
      <w:tr>
        <w:tc>
          <w:tcPr>
            <w:tcW w:type="dxa" w:w="1701"/>
            <w:vAlign w:val="center"/>
            <w:shd w:val="clear" w:color="auto" w:fill="F2F2F2"/>
          </w:tcPr>
          <w:p>
            <w:pPr>
              <w:jc w:val="center"/>
            </w:pPr>
            <w:r>
              <w:rPr>
                <w:sz w:val="20"/>
              </w:rPr>
              <w:t>5</w:t>
            </w:r>
          </w:p>
        </w:tc>
        <w:tc>
          <w:tcPr>
            <w:tcW w:type="dxa" w:w="1134"/>
            <w:vAlign w:val="center"/>
            <w:shd w:val="clear" w:color="auto" w:fill="F2F2F2"/>
          </w:tcPr>
          <w:p>
            <w:pPr>
              <w:jc w:val="center"/>
            </w:pPr>
            <w:r>
              <w:rPr>
                <w:sz w:val="20"/>
              </w:rPr>
              <w:t>6</w:t>
            </w:r>
          </w:p>
        </w:tc>
        <w:tc>
          <w:tcPr>
            <w:tcW w:type="dxa" w:w="1417"/>
            <w:vAlign w:val="center"/>
            <w:shd w:val="clear" w:color="auto" w:fill="F2F2F2"/>
          </w:tcPr>
          <w:p>
            <w:pPr>
              <w:jc w:val="center"/>
            </w:pPr>
            <w:r>
              <w:rPr>
                <w:sz w:val="20"/>
              </w:rPr>
              <w:t>92.8</w:t>
            </w:r>
          </w:p>
        </w:tc>
        <w:tc>
          <w:tcPr>
            <w:tcW w:type="dxa" w:w="5386"/>
            <w:vAlign w:val="center"/>
            <w:shd w:val="clear" w:color="auto" w:fill="F2F2F2"/>
          </w:tcPr>
          <w:p>
            <w:pPr>
              <w:jc w:val="center"/>
            </w:pPr>
            <w:r>
              <w:rPr>
                <w:sz w:val="20"/>
              </w:rPr>
              <w:t>Dễ bị đẩy sang 0 hoặc 8</w:t>
            </w:r>
          </w:p>
        </w:tc>
      </w:tr>
      <w:tr>
        <w:tc>
          <w:tcPr>
            <w:tcW w:type="dxa" w:w="1701"/>
            <w:vAlign w:val="center"/>
            <w:shd w:val="clear" w:color="auto" w:fill="FFFFFF"/>
          </w:tcPr>
          <w:p>
            <w:pPr>
              <w:jc w:val="center"/>
            </w:pPr>
            <w:r>
              <w:rPr>
                <w:sz w:val="20"/>
              </w:rPr>
              <w:t>8</w:t>
            </w:r>
          </w:p>
        </w:tc>
        <w:tc>
          <w:tcPr>
            <w:tcW w:type="dxa" w:w="1134"/>
            <w:vAlign w:val="center"/>
            <w:shd w:val="clear" w:color="auto" w:fill="FFFFFF"/>
          </w:tcPr>
          <w:p>
            <w:pPr>
              <w:jc w:val="center"/>
            </w:pPr>
            <w:r>
              <w:rPr>
                <w:sz w:val="20"/>
              </w:rPr>
              <w:t>3</w:t>
            </w:r>
          </w:p>
        </w:tc>
        <w:tc>
          <w:tcPr>
            <w:tcW w:type="dxa" w:w="1417"/>
            <w:vAlign w:val="center"/>
            <w:shd w:val="clear" w:color="auto" w:fill="FFFFFF"/>
          </w:tcPr>
          <w:p>
            <w:pPr>
              <w:jc w:val="center"/>
            </w:pPr>
            <w:r>
              <w:rPr>
                <w:sz w:val="20"/>
              </w:rPr>
              <w:t>48.0</w:t>
            </w:r>
          </w:p>
        </w:tc>
        <w:tc>
          <w:tcPr>
            <w:tcW w:type="dxa" w:w="5386"/>
            <w:vAlign w:val="center"/>
            <w:shd w:val="clear" w:color="auto" w:fill="FFFFFF"/>
          </w:tcPr>
          <w:p>
            <w:pPr>
              <w:jc w:val="center"/>
            </w:pPr>
            <w:r>
              <w:rPr>
                <w:sz w:val="20"/>
              </w:rPr>
              <w:t>Cấu trúc phức tạp hơn</w:t>
            </w:r>
          </w:p>
        </w:tc>
      </w:tr>
      <w:tr>
        <w:tc>
          <w:tcPr>
            <w:tcW w:type="dxa" w:w="1701"/>
            <w:vAlign w:val="center"/>
            <w:shd w:val="clear" w:color="auto" w:fill="F2F2F2"/>
          </w:tcPr>
          <w:p>
            <w:pPr>
              <w:jc w:val="center"/>
            </w:pPr>
            <w:r>
              <w:rPr>
                <w:sz w:val="20"/>
              </w:rPr>
              <w:t>9</w:t>
            </w:r>
          </w:p>
        </w:tc>
        <w:tc>
          <w:tcPr>
            <w:tcW w:type="dxa" w:w="1134"/>
            <w:vAlign w:val="center"/>
            <w:shd w:val="clear" w:color="auto" w:fill="F2F2F2"/>
          </w:tcPr>
          <w:p>
            <w:pPr>
              <w:jc w:val="center"/>
            </w:pPr>
            <w:r>
              <w:rPr>
                <w:sz w:val="20"/>
              </w:rPr>
              <w:t>2</w:t>
            </w:r>
          </w:p>
        </w:tc>
        <w:tc>
          <w:tcPr>
            <w:tcW w:type="dxa" w:w="1417"/>
            <w:vAlign w:val="center"/>
            <w:shd w:val="clear" w:color="auto" w:fill="F2F2F2"/>
          </w:tcPr>
          <w:p>
            <w:pPr>
              <w:jc w:val="center"/>
            </w:pPr>
            <w:r>
              <w:rPr>
                <w:sz w:val="20"/>
              </w:rPr>
              <w:t>44.7</w:t>
            </w:r>
          </w:p>
        </w:tc>
        <w:tc>
          <w:tcPr>
            <w:tcW w:type="dxa" w:w="5386"/>
            <w:vAlign w:val="center"/>
            <w:shd w:val="clear" w:color="auto" w:fill="F2F2F2"/>
          </w:tcPr>
          <w:p>
            <w:pPr>
              <w:jc w:val="center"/>
            </w:pPr>
            <w:r>
              <w:rPr>
                <w:sz w:val="20"/>
              </w:rPr>
              <w:t>Nhiều đặc trưng cong đặc trưng</w:t>
            </w:r>
          </w:p>
        </w:tc>
      </w:tr>
      <w:tr>
        <w:tc>
          <w:tcPr>
            <w:tcW w:type="dxa" w:w="1701"/>
            <w:vAlign w:val="center"/>
            <w:shd w:val="clear" w:color="auto" w:fill="FFFFFF"/>
          </w:tcPr>
          <w:p>
            <w:pPr>
              <w:jc w:val="center"/>
            </w:pPr>
            <w:r>
              <w:rPr>
                <w:sz w:val="20"/>
              </w:rPr>
              <w:t>10 (khó nhất)</w:t>
            </w:r>
          </w:p>
        </w:tc>
        <w:tc>
          <w:tcPr>
            <w:tcW w:type="dxa" w:w="1134"/>
            <w:vAlign w:val="center"/>
            <w:shd w:val="clear" w:color="auto" w:fill="FFFFFF"/>
          </w:tcPr>
          <w:p>
            <w:pPr>
              <w:jc w:val="center"/>
            </w:pPr>
            <w:r>
              <w:rPr>
                <w:sz w:val="20"/>
              </w:rPr>
              <w:t>8</w:t>
            </w:r>
          </w:p>
        </w:tc>
        <w:tc>
          <w:tcPr>
            <w:tcW w:type="dxa" w:w="1417"/>
            <w:vAlign w:val="center"/>
            <w:shd w:val="clear" w:color="auto" w:fill="FFFFFF"/>
          </w:tcPr>
          <w:p>
            <w:pPr>
              <w:jc w:val="center"/>
            </w:pPr>
            <w:r>
              <w:rPr>
                <w:sz w:val="20"/>
              </w:rPr>
              <w:t>27.2</w:t>
            </w:r>
          </w:p>
        </w:tc>
        <w:tc>
          <w:tcPr>
            <w:tcW w:type="dxa" w:w="5386"/>
            <w:vAlign w:val="center"/>
            <w:shd w:val="clear" w:color="auto" w:fill="FFFFFF"/>
          </w:tcPr>
          <w:p>
            <w:pPr>
              <w:jc w:val="center"/>
            </w:pPr>
            <w:r>
              <w:rPr>
                <w:sz w:val="20"/>
              </w:rPr>
              <w:t>Cấu trúc đối xứng, nhiều đặc trưng mạnh</w:t>
            </w:r>
          </w:p>
        </w:tc>
      </w:tr>
    </w:tbl>
    <w:p/>
    <w:p>
      <w:pPr>
        <w:spacing w:before="120" w:after="40"/>
        <w:jc w:val="center"/>
      </w:pPr>
      <w:r>
        <w:drawing>
          <wp:inline xmlns:a="http://schemas.openxmlformats.org/drawingml/2006/main" xmlns:pic="http://schemas.openxmlformats.org/drawingml/2006/picture">
            <wp:extent cx="5760000" cy="4908101"/>
            <wp:docPr id="25" name="Picture 25"/>
            <wp:cNvGraphicFramePr>
              <a:graphicFrameLocks noChangeAspect="1"/>
            </wp:cNvGraphicFramePr>
            <a:graphic>
              <a:graphicData uri="http://schemas.openxmlformats.org/drawingml/2006/picture">
                <pic:pic>
                  <pic:nvPicPr>
                    <pic:cNvPr id="0" name="exp8_perclass_mnist.png"/>
                    <pic:cNvPicPr/>
                  </pic:nvPicPr>
                  <pic:blipFill>
                    <a:blip r:embed="rId33"/>
                    <a:stretch>
                      <a:fillRect/>
                    </a:stretch>
                  </pic:blipFill>
                  <pic:spPr>
                    <a:xfrm>
                      <a:off x="0" y="0"/>
                      <a:ext cx="5760000" cy="4908101"/>
                    </a:xfrm>
                    <a:prstGeom prst="rect"/>
                  </pic:spPr>
                </pic:pic>
              </a:graphicData>
            </a:graphic>
          </wp:inline>
        </w:drawing>
      </w:r>
    </w:p>
    <w:p>
      <w:pPr>
        <w:spacing w:after="240"/>
        <w:jc w:val="center"/>
      </w:pPr>
      <w:r>
        <w:rPr>
          <w:i/>
          <w:color w:val="555555"/>
          <w:sz w:val="20"/>
        </w:rPr>
        <w:t>Hình 25. MNIST — FGSM Per-class Vulnerability (ε=0.20)</w:t>
        <w:br/>
        <w:t>Trên: ASR xếp từ dễ → khó | Dưới: Clean Acc vs Robust Acc theo class</w:t>
      </w:r>
    </w:p>
    <w:p>
      <w:pPr>
        <w:pStyle w:val="Heading2"/>
        <w:jc w:val="left"/>
      </w:pPr>
      <w:r>
        <w:rPr>
          <w:color w:val="1F3864"/>
        </w:rPr>
        <w:t>12.2. CIFAR-10 — Per-class ASR</w:t>
      </w:r>
    </w:p>
    <w:p>
      <w:pPr>
        <w:spacing w:before="120" w:after="40"/>
        <w:jc w:val="center"/>
      </w:pPr>
      <w:r>
        <w:drawing>
          <wp:inline xmlns:a="http://schemas.openxmlformats.org/drawingml/2006/main" xmlns:pic="http://schemas.openxmlformats.org/drawingml/2006/picture">
            <wp:extent cx="5760000" cy="4908101"/>
            <wp:docPr id="26" name="Picture 26"/>
            <wp:cNvGraphicFramePr>
              <a:graphicFrameLocks noChangeAspect="1"/>
            </wp:cNvGraphicFramePr>
            <a:graphic>
              <a:graphicData uri="http://schemas.openxmlformats.org/drawingml/2006/picture">
                <pic:pic>
                  <pic:nvPicPr>
                    <pic:cNvPr id="0" name="exp8_perclass_cifar10.png"/>
                    <pic:cNvPicPr/>
                  </pic:nvPicPr>
                  <pic:blipFill>
                    <a:blip r:embed="rId34"/>
                    <a:stretch>
                      <a:fillRect/>
                    </a:stretch>
                  </pic:blipFill>
                  <pic:spPr>
                    <a:xfrm>
                      <a:off x="0" y="0"/>
                      <a:ext cx="5760000" cy="4908101"/>
                    </a:xfrm>
                    <a:prstGeom prst="rect"/>
                  </pic:spPr>
                </pic:pic>
              </a:graphicData>
            </a:graphic>
          </wp:inline>
        </w:drawing>
      </w:r>
    </w:p>
    <w:p>
      <w:pPr>
        <w:spacing w:after="240"/>
        <w:jc w:val="center"/>
      </w:pPr>
      <w:r>
        <w:rPr>
          <w:i/>
          <w:color w:val="555555"/>
          <w:sz w:val="20"/>
        </w:rPr>
        <w:t>Hình 26. CIFAR-10 — FGSM Per-class Vulnerability (ε=0.20)</w:t>
        <w:br/>
        <w:t>Hầu hết các class đều bị tấn công thành công với ASR rất cao</w:t>
      </w:r>
    </w:p>
    <w:p>
      <w:pPr>
        <w:spacing w:after="120"/>
        <w:jc w:val="both"/>
      </w:pPr>
      <w:r>
        <w:rPr>
          <w:b w:val="0"/>
          <w:i w:val="0"/>
          <w:sz w:val="22"/>
        </w:rPr>
        <w:t>Nhận xét tổng hợp per-class:</w:t>
      </w:r>
    </w:p>
    <w:p>
      <w:pPr>
        <w:pStyle w:val="ListBullet"/>
        <w:spacing w:after="60"/>
      </w:pPr>
      <w:r>
        <w:rPr>
          <w:sz w:val="22"/>
        </w:rPr>
        <w:t>MNIST: class "8" kháng tốt nhất (ASR 27.2%) — chữ số 8 có cấu trúc đối xứng, giàu đặc trưng hình học, khiến gradient 1 bước khó tìm được hướng vượt biên. Ngược lại, class "1" bị tấn công 100% vì hình dạng đơn giản, ít đặc trưng.</w:t>
      </w:r>
    </w:p>
    <w:p>
      <w:pPr>
        <w:pStyle w:val="ListBullet"/>
        <w:spacing w:after="60"/>
      </w:pPr>
      <w:r>
        <w:rPr>
          <w:sz w:val="22"/>
        </w:rPr>
        <w:t>CIFAR-10: SimpleCNN có ASR gần 100% hầu hết các class ở ε=0.20, phản ánh clean accuracy thấp và ranh giới quyết định yếu của mô hình nhỏ. Kết quả này củng cố sự cần thiết của adversarial training trên CIFAR-10.</w:t>
      </w:r>
    </w:p>
    <w:p>
      <w:pPr>
        <w:pStyle w:val="ListBullet"/>
        <w:spacing w:after="60"/>
      </w:pPr>
      <w:r>
        <w:rPr>
          <w:sz w:val="22"/>
        </w:rPr>
        <w:t>Sự chênh lệch ASR giữa các class gợi ý: defense tốt nhất không chỉ tăng robustness toàn cục mà còn cần chú trọng các class yếu nhất (class-specific hardening).</w:t>
      </w:r>
    </w:p>
    <w:p>
      <w:pPr>
        <w:pStyle w:val="Heading1"/>
        <w:jc w:val="left"/>
      </w:pPr>
      <w:r>
        <w:rPr>
          <w:color w:val="1F3864"/>
        </w:rPr>
        <w:t>13. Kết luận</w:t>
      </w:r>
    </w:p>
    <w:p>
      <w:pPr>
        <w:spacing w:after="120"/>
        <w:jc w:val="both"/>
      </w:pPr>
      <w:r>
        <w:rPr>
          <w:b w:val="0"/>
          <w:i w:val="0"/>
          <w:sz w:val="22"/>
        </w:rPr>
        <w:t>Qua 6 thực nghiệm, báo cáo đã trả lời đầy đủ các câu hỏi nghiên cứu:</w:t>
      </w:r>
    </w:p>
    <w:p>
      <w:pPr>
        <w:pStyle w:val="ListNumber"/>
        <w:spacing w:after="100"/>
      </w:pPr>
      <w:r>
        <w:rPr>
          <w:sz w:val="22"/>
        </w:rPr>
        <w:t>Biên độ nhiễu ε ảnh hưởng trực tiếp đến hiệu quả FGSM. CIFAR-10 đặc biệt nhạy: ASR đạt 72% ngay tại ε=0.05. FGSM có trần năng lực ~85–89% do bản chất 1 bước — I-FGSM và MI-FGSM vượt qua giới hạn này, đạt 100% từ ε=0.10 chỉ với T=5 bước.</w:t>
      </w:r>
    </w:p>
    <w:p>
      <w:pPr>
        <w:pStyle w:val="ListNumber"/>
        <w:spacing w:after="100"/>
      </w:pPr>
      <w:r>
        <w:rPr>
          <w:sz w:val="22"/>
        </w:rPr>
        <w:t>Targeted FGSM kém hiệu quả hơn untargeted rất nhiều (TSR 11–16% vs ASR 71–95%): 1 bước gradient chưa đủ để định hướng chính xác vào lớp đích. Một số class đặc biệt dễ là target ("8" MNIST: 85.6% TSR; "frog" CIFAR-10: 98% TSR).</w:t>
      </w:r>
    </w:p>
    <w:p>
      <w:pPr>
        <w:pStyle w:val="ListNumber"/>
        <w:spacing w:after="100"/>
      </w:pPr>
      <w:r>
        <w:rPr>
          <w:sz w:val="22"/>
        </w:rPr>
        <w:t>MI-FGSM cải thiện transferability so với FGSM: +7.5pp trung bình trong black-box, lên đến +12.8pp (SimpleCNN→MobileNetV2). White-box MI-FGSM đạt 100% ASR nhờ momentum giúp thoát khỏi local optima trong loss landscape.</w:t>
      </w:r>
    </w:p>
    <w:p>
      <w:pPr>
        <w:pStyle w:val="ListNumber"/>
        <w:spacing w:after="100"/>
      </w:pPr>
      <w:r>
        <w:rPr>
          <w:sz w:val="22"/>
        </w:rPr>
        <w:t>Per-class analysis: không phải mọi class đều dễ bị tấn công như nhau. MNIST class "8" kháng tốt nhất (ASR 27%) trong khi class "1" bị đánh 100%. Điều này gợi ý defense cần class-aware, không chỉ toàn cục.</w:t>
      </w:r>
    </w:p>
    <w:p>
      <w:pPr>
        <w:pStyle w:val="ListNumber"/>
        <w:spacing w:after="100"/>
      </w:pPr>
      <w:r>
        <w:rPr>
          <w:sz w:val="22"/>
        </w:rPr>
        <w:t>Adversarial training với FGSM-AT hiệu quả trên MNIST (ASR giảm từ 89% → 7%) nhưng có trade-off trên CIFAR-10 (−5.4pp clean acc). Với bài toán phức tạp cần chiến lược tinh tế hơn (PGD-AT, TRADES).</w:t>
      </w:r>
    </w:p>
    <w:p>
      <w:pPr>
        <w:spacing w:after="120"/>
        <w:jc w:val="both"/>
      </w:pPr>
      <w:r>
        <w:rPr>
          <w:b/>
          <w:i w:val="0"/>
          <w:sz w:val="22"/>
        </w:rPr>
        <w:br/>
        <w:t>Hướng phát triển tiếp theo:</w:t>
      </w:r>
    </w:p>
    <w:p>
      <w:pPr>
        <w:pStyle w:val="ListBullet"/>
        <w:spacing w:after="60"/>
      </w:pPr>
      <w:r>
        <w:rPr>
          <w:sz w:val="22"/>
        </w:rPr>
        <w:t>Targeted I-FGSM / Targeted MI-FGSM: kết hợp nhiều bước với targeted để tăng TSR.</w:t>
      </w:r>
    </w:p>
    <w:p>
      <w:pPr>
        <w:pStyle w:val="ListBullet"/>
        <w:spacing w:after="60"/>
      </w:pPr>
      <w:r>
        <w:rPr>
          <w:sz w:val="22"/>
        </w:rPr>
        <w:t>PGD-AT (Madry et al.): adversarial training mạnh hơn FGSM-AT, giảm trade-off clean/robust accuracy trên CIFAR-10.</w:t>
      </w:r>
    </w:p>
    <w:p>
      <w:pPr>
        <w:pStyle w:val="ListBullet"/>
        <w:spacing w:after="60"/>
      </w:pPr>
      <w:r>
        <w:rPr>
          <w:sz w:val="22"/>
        </w:rPr>
        <w:t>Class-specific hardening: tăng cường defense riêng cho các class yếu nhất (class "1" MNIST, các class dễ bị tấn công trên CIFAR-10).</w:t>
      </w:r>
    </w:p>
    <w:p>
      <w:pPr>
        <w:pStyle w:val="ListBullet"/>
        <w:spacing w:after="60"/>
      </w:pPr>
      <w:r>
        <w:rPr>
          <w:sz w:val="22"/>
        </w:rPr>
        <w:t>Frequency domain analysis: nghiên cứu tại sao gradient FGSM có transferability cao qua phân tích phổ tần số của nhiễu đối kháng.</w:t>
      </w:r>
    </w:p>
    <w:p>
      <w:pPr>
        <w:pStyle w:val="Heading1"/>
        <w:jc w:val="left"/>
      </w:pPr>
      <w:r>
        <w:rPr>
          <w:color w:val="1F3864"/>
        </w:rPr>
        <w:t>Tài liệu tham khảo</w:t>
      </w:r>
    </w:p>
    <w:p>
      <w:pPr>
        <w:spacing w:after="80"/>
        <w:ind w:left="283" w:hanging="283"/>
      </w:pPr>
      <w:r>
        <w:rPr>
          <w:sz w:val="20"/>
        </w:rPr>
        <w:t>[1] Goodfellow, I., Shlens, J., &amp; Szegedy, C. (2015). Explaining and harnessing adversarial examples. ICLR 2015. https://arxiv.org/abs/1412.6572</w:t>
      </w:r>
    </w:p>
    <w:p>
      <w:pPr>
        <w:spacing w:after="80"/>
        <w:ind w:left="283" w:hanging="283"/>
      </w:pPr>
      <w:r>
        <w:rPr>
          <w:sz w:val="20"/>
        </w:rPr>
        <w:t>[2] Kurakin, A., Goodfellow, I., &amp; Bengio, S. (2016). Adversarial examples in the physical world. arXiv:1607.02533</w:t>
      </w:r>
    </w:p>
    <w:p>
      <w:pPr>
        <w:spacing w:after="80"/>
        <w:ind w:left="283" w:hanging="283"/>
      </w:pPr>
      <w:r>
        <w:rPr>
          <w:sz w:val="20"/>
        </w:rPr>
        <w:t>[3] Dong, Y., et al. (2018). Boosting adversarial attacks with momentum. CVPR 2018. https://arxiv.org/abs/1710.06081</w:t>
      </w:r>
    </w:p>
    <w:p>
      <w:pPr>
        <w:spacing w:after="80"/>
        <w:ind w:left="283" w:hanging="283"/>
      </w:pPr>
      <w:r>
        <w:rPr>
          <w:sz w:val="20"/>
        </w:rPr>
        <w:t>[4] Szegedy, C., et al. (2014). Intriguing properties of neural networks. ICLR 2014. https://arxiv.org/abs/1312.6199</w:t>
      </w:r>
    </w:p>
    <w:p>
      <w:pPr>
        <w:spacing w:after="80"/>
        <w:ind w:left="283" w:hanging="283"/>
      </w:pPr>
      <w:r>
        <w:rPr>
          <w:sz w:val="20"/>
        </w:rPr>
        <w:t>[5] Papernot, N., McDaniel, P., &amp; Goodfellow, I. (2016). Transferability in machine learning: from phenomena to black-box attacks using adversarial samples. arXiv:1605.07277</w:t>
      </w:r>
    </w:p>
    <w:p>
      <w:pPr>
        <w:spacing w:after="80"/>
        <w:ind w:left="283" w:hanging="283"/>
      </w:pPr>
      <w:r>
        <w:rPr>
          <w:sz w:val="20"/>
        </w:rPr>
        <w:t>[6] Madry, A., et al. (2018). Towards deep learning models resistant to adversarial attacks. ICLR 2018. https://arxiv.org/abs/1706.06083</w:t>
      </w:r>
    </w:p>
    <w:p>
      <w:pPr>
        <w:spacing w:after="80"/>
        <w:ind w:left="283" w:hanging="283"/>
      </w:pPr>
      <w:r>
        <w:rPr>
          <w:sz w:val="20"/>
        </w:rPr>
        <w:t>[7] LeCun, Y., Cortes, C., &amp; Burges, C. (1998). The MNIST database of handwritten digits.</w:t>
      </w:r>
    </w:p>
    <w:p>
      <w:pPr>
        <w:spacing w:after="80"/>
        <w:ind w:left="283" w:hanging="283"/>
      </w:pPr>
      <w:r>
        <w:rPr>
          <w:sz w:val="20"/>
        </w:rPr>
        <w:t>[8] Krizhevsky, A. (2009). Learning multiple layers of features from tiny images. Tech Report.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