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864"/>
          <w:sz w:val="40"/>
        </w:rPr>
        <w:t>BÁO CÁO THỰC NGHIỆM</w:t>
      </w:r>
    </w:p>
    <w:p>
      <w:pPr>
        <w:jc w:val="center"/>
      </w:pPr>
      <w:r>
        <w:rPr>
          <w:b/>
          <w:color w:val="2E75B6"/>
          <w:sz w:val="30"/>
        </w:rPr>
        <w:t>Tấn Công Đối Kháng FGSM &amp; I-FGSM</w:t>
        <w:br/>
        <w:t>trên MNIST, CIFAR-10 và Cross-Architecture Transfer</w:t>
      </w:r>
    </w:p>
    <w:p/>
    <w:p>
      <w:pPr>
        <w:jc w:val="center"/>
      </w:pPr>
      <w:r>
        <w:rPr>
          <w:sz w:val="24"/>
        </w:rPr>
        <w:t>Ngày thực nghiệm: 14/05/2026</w:t>
        <w:br/>
      </w:r>
      <w:r>
        <w:rPr>
          <w:sz w:val="24"/>
        </w:rPr>
        <w:t>Framework: PyTorch 2.0+ | Python 3.10+</w:t>
      </w:r>
    </w:p>
    <w:p>
      <w:r>
        <w:br w:type="page"/>
      </w:r>
    </w:p>
    <w:p>
      <w:pPr>
        <w:pStyle w:val="Heading1"/>
        <w:jc w:val="left"/>
      </w:pPr>
      <w:r>
        <w:rPr>
          <w:color w:val="1F3864"/>
        </w:rPr>
        <w:t>1. Giới thiệu</w:t>
      </w:r>
    </w:p>
    <w:p>
      <w:pPr>
        <w:spacing w:after="120"/>
        <w:jc w:val="both"/>
      </w:pPr>
      <w:r>
        <w:rPr>
          <w:b w:val="0"/>
          <w:i w:val="0"/>
          <w:sz w:val="22"/>
        </w:rPr>
        <w:t>Báo cáo này trình bày toàn bộ quá trình thực nghiệm nhằm đánh giá mức độ dễ bị tấn công đối kháng (adversarial vulnerability) của mô hình phân loại ảnh khi đối mặt với hai phương pháp tấn công phổ biến: FGSM (Fast Gradient Sign Method) và I-FGSM (Iterative FGSM, còn gọi là BIM — Basic Iterative Method).</w:t>
      </w:r>
    </w:p>
    <w:p>
      <w:pPr>
        <w:spacing w:after="120"/>
        <w:jc w:val="both"/>
      </w:pPr>
      <w:r>
        <w:rPr>
          <w:b w:val="0"/>
          <w:i w:val="0"/>
          <w:sz w:val="22"/>
        </w:rPr>
        <w:t>Thực nghiệm được tiến hành trên hai bộ dữ liệu chuẩn: MNIST (chữ số viết tay) và CIFAR-10 (ảnh vật thể thực tế), sử dụng mô hình SimpleCNN tự xây dựng. Mục tiêu chính là trả lời ba câu hỏi nghiên cứu:</w:t>
      </w:r>
    </w:p>
    <w:p>
      <w:pPr>
        <w:pStyle w:val="ListBullet"/>
        <w:spacing w:after="60"/>
      </w:pPr>
      <w:r>
        <w:rPr>
          <w:sz w:val="22"/>
        </w:rPr>
        <w:t>ε (biên độ nhiễu) ảnh hưởng như thế nào đến hiệu quả tấn công?</w:t>
      </w:r>
    </w:p>
    <w:p>
      <w:pPr>
        <w:pStyle w:val="ListBullet"/>
        <w:spacing w:after="60"/>
      </w:pPr>
      <w:r>
        <w:rPr>
          <w:sz w:val="22"/>
        </w:rPr>
        <w:t>Số bước lặp T ảnh hưởng thế nào đến I-FGSM? Bao nhiêu bước là đủ?</w:t>
      </w:r>
    </w:p>
    <w:p>
      <w:pPr>
        <w:pStyle w:val="ListBullet"/>
        <w:spacing w:after="60"/>
      </w:pPr>
      <w:r>
        <w:rPr>
          <w:sz w:val="22"/>
        </w:rPr>
        <w:t>Sự khác biệt về độ robustness giữa MNIST và CIFAR-10 là gì?</w:t>
      </w:r>
    </w:p>
    <w:p>
      <w:pPr>
        <w:pStyle w:val="ListBullet"/>
        <w:spacing w:after="60"/>
      </w:pPr>
      <w:r>
        <w:rPr>
          <w:sz w:val="22"/>
        </w:rPr>
        <w:t>Ảnh đối kháng sinh ra từ một kiến trúc có thể đánh lừa kiến trúc khác không (transferability)?</w:t>
      </w:r>
    </w:p>
    <w:p/>
    <w:p>
      <w:pPr>
        <w:pStyle w:val="Heading1"/>
        <w:jc w:val="left"/>
      </w:pPr>
      <w:r>
        <w:rPr>
          <w:color w:val="1F3864"/>
        </w:rPr>
        <w:t>2. Cơ sở lý thuyết</w:t>
      </w:r>
    </w:p>
    <w:p>
      <w:pPr>
        <w:pStyle w:val="Heading2"/>
        <w:jc w:val="left"/>
      </w:pPr>
      <w:r>
        <w:rPr>
          <w:color w:val="1F3864"/>
        </w:rPr>
        <w:t>2.1. FGSM — Fast Gradient Sign Method</w:t>
      </w:r>
    </w:p>
    <w:p>
      <w:pPr>
        <w:spacing w:after="120"/>
        <w:jc w:val="both"/>
      </w:pPr>
      <w:r>
        <w:rPr>
          <w:b w:val="0"/>
          <w:i w:val="0"/>
          <w:sz w:val="22"/>
        </w:rPr>
        <w:t>FGSM (Goodfellow et al., 2015) tạo ra ảnh đối kháng bằng cách cộng thêm một nhiễu nhỏ có cùng dấu với gradient của hàm mất mát theo ảnh đầu vào:</w:t>
      </w:r>
    </w:p>
    <w:p>
      <w:pPr>
        <w:spacing w:before="80" w:after="80"/>
        <w:jc w:val="center"/>
      </w:pPr>
      <w:r>
        <w:rPr>
          <w:rFonts w:ascii="Courier New" w:hAnsi="Courier New"/>
          <w:b/>
          <w:sz w:val="24"/>
        </w:rPr>
        <w:t>x_adv = x + ε · sign(∇ₓ J(θ, x, y))</w:t>
      </w:r>
    </w:p>
    <w:p>
      <w:pPr>
        <w:spacing w:after="120"/>
        <w:jc w:val="both"/>
      </w:pPr>
      <w:r>
        <w:rPr>
          <w:b w:val="0"/>
          <w:i w:val="0"/>
          <w:sz w:val="22"/>
        </w:rPr>
        <w:t>Trong đó x là ảnh gốc, y là nhãn thực, θ là tham số mô hình, ε là biên độ nhiễu tối đa (L∞ norm). FGSM chỉ thực hiện một bước tính gradient duy nhất, do đó rất nhanh nhưng có thể không đạt tối ưu.</w:t>
      </w:r>
    </w:p>
    <w:p>
      <w:pPr>
        <w:pStyle w:val="Heading2"/>
        <w:jc w:val="left"/>
      </w:pPr>
      <w:r>
        <w:rPr>
          <w:color w:val="1F3864"/>
        </w:rPr>
        <w:t>2.2. I-FGSM — Iterative FGSM (BIM)</w:t>
      </w:r>
    </w:p>
    <w:p>
      <w:pPr>
        <w:spacing w:after="120"/>
        <w:jc w:val="both"/>
      </w:pPr>
      <w:r>
        <w:rPr>
          <w:b w:val="0"/>
          <w:i w:val="0"/>
          <w:sz w:val="22"/>
        </w:rPr>
        <w:t>I-FGSM (Kurakin et al., 2016) mở rộng FGSM bằng cách thực hiện T bước nhỏ liên tiếp, sau mỗi bước clip nhiễu để không vượt quá ε-ball quanh ảnh gốc:</w:t>
      </w:r>
    </w:p>
    <w:p>
      <w:pPr>
        <w:spacing w:before="40" w:after="40"/>
        <w:jc w:val="center"/>
      </w:pPr>
      <w:r>
        <w:rPr>
          <w:rFonts w:ascii="Courier New" w:hAnsi="Courier New"/>
          <w:b/>
          <w:sz w:val="24"/>
        </w:rPr>
        <w:t>x₀ = x</w:t>
      </w:r>
    </w:p>
    <w:p>
      <w:pPr>
        <w:spacing w:before="40" w:after="40"/>
        <w:jc w:val="center"/>
      </w:pPr>
      <w:r>
        <w:rPr>
          <w:rFonts w:ascii="Courier New" w:hAnsi="Courier New"/>
          <w:b/>
          <w:sz w:val="24"/>
        </w:rPr>
        <w:t>xₜ₊₁ = Clip_{x,ε} [ xₜ + α · sign(∇ₓ J(θ, xₜ, y)) ]</w:t>
      </w:r>
    </w:p>
    <w:p>
      <w:pPr>
        <w:spacing w:after="120"/>
        <w:jc w:val="both"/>
      </w:pPr>
      <w:r>
        <w:rPr>
          <w:b w:val="0"/>
          <w:i w:val="0"/>
          <w:sz w:val="22"/>
        </w:rPr>
        <w:t>Với α = ε/T là bước nhảy mỗi iteration. Mỗi bước tính lại gradient từ vị trí hiện tại, giúp I-FGSM tìm được hướng tấn công chính xác hơn nhiều so với FGSM dù cùng ngân sách nhiễu ε.</w:t>
      </w:r>
    </w:p>
    <w:p>
      <w:pPr>
        <w:pStyle w:val="Heading2"/>
        <w:jc w:val="left"/>
      </w:pPr>
      <w:r>
        <w:rPr>
          <w:color w:val="1F3864"/>
        </w:rPr>
        <w:t>2.3. Phương pháp đánh giá 2 pha</w:t>
      </w:r>
    </w:p>
    <w:p>
      <w:pPr>
        <w:spacing w:after="120"/>
        <w:jc w:val="both"/>
      </w:pPr>
      <w:r>
        <w:rPr>
          <w:b w:val="0"/>
          <w:i w:val="0"/>
          <w:sz w:val="22"/>
        </w:rPr>
        <w:t>Tất cả thực nghiệm sử dụng quy trình đánh giá 2 pha để đo lường hiệu quả tấn công một cách công bằng và chính xác:</w:t>
      </w:r>
    </w:p>
    <w:p>
      <w:pPr>
        <w:pStyle w:val="ListNumber"/>
        <w:spacing w:after="80"/>
      </w:pPr>
      <w:r>
        <w:rPr>
          <w:sz w:val="22"/>
        </w:rPr>
        <w:t>Pha 1 — Dự đoán &amp; Lọc: Cho toàn bộ test set qua mô hình (không tấn công). Ghi nhận độ chính xác nền (clean accuracy) và giữ lại chỉ những mẫu được mô hình dự đoán ĐÚNG (n_correct mẫu).</w:t>
      </w:r>
    </w:p>
    <w:p>
      <w:pPr>
        <w:pStyle w:val="ListNumber"/>
        <w:spacing w:after="80"/>
      </w:pPr>
      <w:r>
        <w:rPr>
          <w:sz w:val="22"/>
        </w:rPr>
        <w:t>Pha 2 — Tấn công: Chạy FGSM và I-FGSM chỉ trên n_correct mẫu đúng đó. Đo độ chính xác còn lại (robust accuracy) và Attack Success Rate (ASR).</w:t>
      </w:r>
    </w:p>
    <w:p>
      <w:pPr>
        <w:spacing w:after="120"/>
        <w:jc w:val="both"/>
      </w:pPr>
      <w:r>
        <w:rPr>
          <w:b w:val="0"/>
          <w:i w:val="0"/>
          <w:sz w:val="22"/>
        </w:rPr>
        <w:t>Lý do: tấn công mẫu vốn đã sai là vô nghĩa. Phương pháp này phản ánh đúng sức mạnh thực sự của attack: trong số những mẫu mô hình phân loại đúng, bao nhiêu phần trăm bị đánh lừa?</w:t>
      </w:r>
    </w:p>
    <w:p>
      <w:pPr>
        <w:pStyle w:val="Heading2"/>
        <w:jc w:val="left"/>
      </w:pPr>
      <w:r>
        <w:rPr>
          <w:color w:val="1F3864"/>
        </w:rPr>
        <w:t>2.4. Các chỉ số đánh giá</w:t>
      </w:r>
    </w:p>
    <w:tbl>
      <w:tblPr>
        <w:tblStyle w:val="TableGrid"/>
        <w:tblW w:type="auto" w:w="0"/>
        <w:jc w:val="center"/>
        <w:tblLook w:firstColumn="1" w:firstRow="1" w:lastColumn="0" w:lastRow="0" w:noHBand="0" w:noVBand="1" w:val="04A0"/>
      </w:tblPr>
      <w:tblGrid>
        <w:gridCol w:w="4702"/>
        <w:gridCol w:w="4702"/>
      </w:tblGrid>
      <w:tr>
        <w:tc>
          <w:tcPr>
            <w:tcW w:type="dxa" w:w="3118"/>
            <w:vAlign w:val="center"/>
            <w:shd w:val="clear" w:color="auto" w:fill="1F3864"/>
          </w:tcPr>
          <w:p>
            <w:pPr>
              <w:jc w:val="center"/>
            </w:pPr>
            <w:r>
              <w:rPr>
                <w:b/>
                <w:color w:val="FFFFFF"/>
                <w:sz w:val="20"/>
              </w:rPr>
              <w:t>Chỉ số</w:t>
            </w:r>
          </w:p>
        </w:tc>
        <w:tc>
          <w:tcPr>
            <w:tcW w:type="dxa" w:w="6520"/>
            <w:vAlign w:val="center"/>
            <w:shd w:val="clear" w:color="auto" w:fill="1F3864"/>
          </w:tcPr>
          <w:p>
            <w:pPr>
              <w:jc w:val="center"/>
            </w:pPr>
            <w:r>
              <w:rPr>
                <w:b/>
                <w:color w:val="FFFFFF"/>
                <w:sz w:val="20"/>
              </w:rPr>
              <w:t>Ý nghĩa</w:t>
            </w:r>
          </w:p>
        </w:tc>
      </w:tr>
      <w:tr>
        <w:tc>
          <w:tcPr>
            <w:tcW w:type="dxa" w:w="3118"/>
            <w:vAlign w:val="center"/>
            <w:shd w:val="clear" w:color="auto" w:fill="F2F2F2"/>
          </w:tcPr>
          <w:p>
            <w:pPr>
              <w:jc w:val="center"/>
            </w:pPr>
            <w:r>
              <w:rPr>
                <w:sz w:val="20"/>
              </w:rPr>
              <w:t>Clean Acc (%)</w:t>
            </w:r>
          </w:p>
        </w:tc>
        <w:tc>
          <w:tcPr>
            <w:tcW w:type="dxa" w:w="6520"/>
            <w:vAlign w:val="center"/>
            <w:shd w:val="clear" w:color="auto" w:fill="F2F2F2"/>
          </w:tcPr>
          <w:p>
            <w:pPr>
              <w:jc w:val="center"/>
            </w:pPr>
            <w:r>
              <w:rPr>
                <w:sz w:val="20"/>
              </w:rPr>
              <w:t>Độ chính xác trước khi tấn công (baseline)</w:t>
            </w:r>
          </w:p>
        </w:tc>
      </w:tr>
      <w:tr>
        <w:tc>
          <w:tcPr>
            <w:tcW w:type="dxa" w:w="3118"/>
            <w:vAlign w:val="center"/>
            <w:shd w:val="clear" w:color="auto" w:fill="FFFFFF"/>
          </w:tcPr>
          <w:p>
            <w:pPr>
              <w:jc w:val="center"/>
            </w:pPr>
            <w:r>
              <w:rPr>
                <w:sz w:val="20"/>
              </w:rPr>
              <w:t>Robust Acc (%)</w:t>
            </w:r>
          </w:p>
        </w:tc>
        <w:tc>
          <w:tcPr>
            <w:tcW w:type="dxa" w:w="6520"/>
            <w:vAlign w:val="center"/>
            <w:shd w:val="clear" w:color="auto" w:fill="FFFFFF"/>
          </w:tcPr>
          <w:p>
            <w:pPr>
              <w:jc w:val="center"/>
            </w:pPr>
            <w:r>
              <w:rPr>
                <w:sz w:val="20"/>
              </w:rPr>
              <w:t>Độ chính xác sau tấn công (trên toàn test set)</w:t>
            </w:r>
          </w:p>
        </w:tc>
      </w:tr>
      <w:tr>
        <w:tc>
          <w:tcPr>
            <w:tcW w:type="dxa" w:w="3118"/>
            <w:vAlign w:val="center"/>
            <w:shd w:val="clear" w:color="auto" w:fill="F2F2F2"/>
          </w:tcPr>
          <w:p>
            <w:pPr>
              <w:jc w:val="center"/>
            </w:pPr>
            <w:r>
              <w:rPr>
                <w:sz w:val="20"/>
              </w:rPr>
              <w:t>ASR (%)</w:t>
            </w:r>
          </w:p>
        </w:tc>
        <w:tc>
          <w:tcPr>
            <w:tcW w:type="dxa" w:w="6520"/>
            <w:vAlign w:val="center"/>
            <w:shd w:val="clear" w:color="auto" w:fill="F2F2F2"/>
          </w:tcPr>
          <w:p>
            <w:pPr>
              <w:jc w:val="center"/>
            </w:pPr>
            <w:r>
              <w:rPr>
                <w:sz w:val="20"/>
              </w:rPr>
              <w:t>Attack Success Rate — % mẫu đúng bị đánh lừa</w:t>
            </w:r>
          </w:p>
        </w:tc>
      </w:tr>
      <w:tr>
        <w:tc>
          <w:tcPr>
            <w:tcW w:type="dxa" w:w="3118"/>
            <w:vAlign w:val="center"/>
            <w:shd w:val="clear" w:color="auto" w:fill="FFFFFF"/>
          </w:tcPr>
          <w:p>
            <w:pPr>
              <w:jc w:val="center"/>
            </w:pPr>
            <w:r>
              <w:rPr>
                <w:sz w:val="20"/>
              </w:rPr>
              <w:t>Acc Drop (pp)</w:t>
            </w:r>
          </w:p>
        </w:tc>
        <w:tc>
          <w:tcPr>
            <w:tcW w:type="dxa" w:w="6520"/>
            <w:vAlign w:val="center"/>
            <w:shd w:val="clear" w:color="auto" w:fill="FFFFFF"/>
          </w:tcPr>
          <w:p>
            <w:pPr>
              <w:jc w:val="center"/>
            </w:pPr>
            <w:r>
              <w:rPr>
                <w:sz w:val="20"/>
              </w:rPr>
              <w:t>Mức giảm độ chính xác tuyệt đối (percentage points)</w:t>
            </w:r>
          </w:p>
        </w:tc>
      </w:tr>
      <w:tr>
        <w:tc>
          <w:tcPr>
            <w:tcW w:type="dxa" w:w="3118"/>
            <w:vAlign w:val="center"/>
            <w:shd w:val="clear" w:color="auto" w:fill="F2F2F2"/>
          </w:tcPr>
          <w:p>
            <w:pPr>
              <w:jc w:val="center"/>
            </w:pPr>
            <w:r>
              <w:rPr>
                <w:sz w:val="20"/>
              </w:rPr>
              <w:t>Perturbation L∞</w:t>
            </w:r>
          </w:p>
        </w:tc>
        <w:tc>
          <w:tcPr>
            <w:tcW w:type="dxa" w:w="6520"/>
            <w:vAlign w:val="center"/>
            <w:shd w:val="clear" w:color="auto" w:fill="F2F2F2"/>
          </w:tcPr>
          <w:p>
            <w:pPr>
              <w:jc w:val="center"/>
            </w:pPr>
            <w:r>
              <w:rPr>
                <w:sz w:val="20"/>
              </w:rPr>
              <w:t>Biên độ nhiễu tối đa (= ε theo thiết kế)</w:t>
            </w:r>
          </w:p>
        </w:tc>
      </w:tr>
      <w:tr>
        <w:tc>
          <w:tcPr>
            <w:tcW w:type="dxa" w:w="3118"/>
            <w:vAlign w:val="center"/>
            <w:shd w:val="clear" w:color="auto" w:fill="FFFFFF"/>
          </w:tcPr>
          <w:p>
            <w:pPr>
              <w:jc w:val="center"/>
            </w:pPr>
            <w:r>
              <w:rPr>
                <w:sz w:val="20"/>
              </w:rPr>
              <w:t>Attack Time (s)</w:t>
            </w:r>
          </w:p>
        </w:tc>
        <w:tc>
          <w:tcPr>
            <w:tcW w:type="dxa" w:w="6520"/>
            <w:vAlign w:val="center"/>
            <w:shd w:val="clear" w:color="auto" w:fill="FFFFFF"/>
          </w:tcPr>
          <w:p>
            <w:pPr>
              <w:jc w:val="center"/>
            </w:pPr>
            <w:r>
              <w:rPr>
                <w:sz w:val="20"/>
              </w:rPr>
              <w:t>Thời gian thực hiện tấn công trên toàn batch</w:t>
            </w:r>
          </w:p>
        </w:tc>
      </w:tr>
    </w:tbl>
    <w:p/>
    <w:p/>
    <w:p>
      <w:pPr>
        <w:pStyle w:val="Heading1"/>
        <w:jc w:val="left"/>
      </w:pPr>
      <w:r>
        <w:rPr>
          <w:color w:val="1F3864"/>
        </w:rPr>
        <w:t>3. Thiết lập thực nghiệm</w:t>
      </w:r>
    </w:p>
    <w:p>
      <w:pPr>
        <w:pStyle w:val="Heading2"/>
        <w:jc w:val="left"/>
      </w:pPr>
      <w:r>
        <w:rPr>
          <w:color w:val="1F3864"/>
        </w:rPr>
        <w:t>3.1. Bộ dữ liệu</w:t>
      </w:r>
    </w:p>
    <w:tbl>
      <w:tblPr>
        <w:tblStyle w:val="TableGrid"/>
        <w:tblW w:type="auto" w:w="0"/>
        <w:jc w:val="center"/>
        <w:tblLook w:firstColumn="1" w:firstRow="1" w:lastColumn="0" w:lastRow="0" w:noHBand="0" w:noVBand="1" w:val="04A0"/>
      </w:tblPr>
      <w:tblGrid>
        <w:gridCol w:w="3135"/>
        <w:gridCol w:w="3135"/>
        <w:gridCol w:w="3135"/>
      </w:tblGrid>
      <w:tr>
        <w:tc>
          <w:tcPr>
            <w:tcW w:type="dxa" w:w="2835"/>
            <w:vAlign w:val="center"/>
            <w:shd w:val="clear" w:color="auto" w:fill="1F3864"/>
          </w:tcPr>
          <w:p>
            <w:pPr>
              <w:jc w:val="center"/>
            </w:pPr>
            <w:r>
              <w:rPr>
                <w:b/>
                <w:color w:val="FFFFFF"/>
                <w:sz w:val="20"/>
              </w:rPr>
              <w:t>Thuộc tính</w:t>
            </w:r>
          </w:p>
        </w:tc>
        <w:tc>
          <w:tcPr>
            <w:tcW w:type="dxa" w:w="3685"/>
            <w:vAlign w:val="center"/>
            <w:shd w:val="clear" w:color="auto" w:fill="1F3864"/>
          </w:tcPr>
          <w:p>
            <w:pPr>
              <w:jc w:val="center"/>
            </w:pPr>
            <w:r>
              <w:rPr>
                <w:b/>
                <w:color w:val="FFFFFF"/>
                <w:sz w:val="20"/>
              </w:rPr>
              <w:t>MNIST</w:t>
            </w:r>
          </w:p>
        </w:tc>
        <w:tc>
          <w:tcPr>
            <w:tcW w:type="dxa" w:w="3685"/>
            <w:vAlign w:val="center"/>
            <w:shd w:val="clear" w:color="auto" w:fill="1F3864"/>
          </w:tcPr>
          <w:p>
            <w:pPr>
              <w:jc w:val="center"/>
            </w:pPr>
            <w:r>
              <w:rPr>
                <w:b/>
                <w:color w:val="FFFFFF"/>
                <w:sz w:val="20"/>
              </w:rPr>
              <w:t>CIFAR-10</w:t>
            </w:r>
          </w:p>
        </w:tc>
      </w:tr>
      <w:tr>
        <w:tc>
          <w:tcPr>
            <w:tcW w:type="dxa" w:w="2835"/>
            <w:vAlign w:val="center"/>
            <w:shd w:val="clear" w:color="auto" w:fill="F2F2F2"/>
          </w:tcPr>
          <w:p>
            <w:pPr>
              <w:jc w:val="center"/>
            </w:pPr>
            <w:r>
              <w:rPr>
                <w:sz w:val="20"/>
              </w:rPr>
              <w:t>Số lớp</w:t>
            </w:r>
          </w:p>
        </w:tc>
        <w:tc>
          <w:tcPr>
            <w:tcW w:type="dxa" w:w="3685"/>
            <w:vAlign w:val="center"/>
            <w:shd w:val="clear" w:color="auto" w:fill="F2F2F2"/>
          </w:tcPr>
          <w:p>
            <w:pPr>
              <w:jc w:val="center"/>
            </w:pPr>
            <w:r>
              <w:rPr>
                <w:sz w:val="20"/>
              </w:rPr>
              <w:t>10 (chữ số 0–9)</w:t>
            </w:r>
          </w:p>
        </w:tc>
        <w:tc>
          <w:tcPr>
            <w:tcW w:type="dxa" w:w="3685"/>
            <w:vAlign w:val="center"/>
            <w:shd w:val="clear" w:color="auto" w:fill="F2F2F2"/>
          </w:tcPr>
          <w:p>
            <w:pPr>
              <w:jc w:val="center"/>
            </w:pPr>
            <w:r>
              <w:rPr>
                <w:sz w:val="20"/>
              </w:rPr>
              <w:t>10 (vật thể thực tế)</w:t>
            </w:r>
          </w:p>
        </w:tc>
      </w:tr>
      <w:tr>
        <w:tc>
          <w:tcPr>
            <w:tcW w:type="dxa" w:w="2835"/>
            <w:vAlign w:val="center"/>
            <w:shd w:val="clear" w:color="auto" w:fill="FFFFFF"/>
          </w:tcPr>
          <w:p>
            <w:pPr>
              <w:jc w:val="center"/>
            </w:pPr>
            <w:r>
              <w:rPr>
                <w:sz w:val="20"/>
              </w:rPr>
              <w:t>Kích thước ảnh</w:t>
            </w:r>
          </w:p>
        </w:tc>
        <w:tc>
          <w:tcPr>
            <w:tcW w:type="dxa" w:w="3685"/>
            <w:vAlign w:val="center"/>
            <w:shd w:val="clear" w:color="auto" w:fill="FFFFFF"/>
          </w:tcPr>
          <w:p>
            <w:pPr>
              <w:jc w:val="center"/>
            </w:pPr>
            <w:r>
              <w:rPr>
                <w:sz w:val="20"/>
              </w:rPr>
              <w:t>28×28, grayscale</w:t>
            </w:r>
          </w:p>
        </w:tc>
        <w:tc>
          <w:tcPr>
            <w:tcW w:type="dxa" w:w="3685"/>
            <w:vAlign w:val="center"/>
            <w:shd w:val="clear" w:color="auto" w:fill="FFFFFF"/>
          </w:tcPr>
          <w:p>
            <w:pPr>
              <w:jc w:val="center"/>
            </w:pPr>
            <w:r>
              <w:rPr>
                <w:sz w:val="20"/>
              </w:rPr>
              <w:t>32×32, RGB</w:t>
            </w:r>
          </w:p>
        </w:tc>
      </w:tr>
      <w:tr>
        <w:tc>
          <w:tcPr>
            <w:tcW w:type="dxa" w:w="2835"/>
            <w:vAlign w:val="center"/>
            <w:shd w:val="clear" w:color="auto" w:fill="F2F2F2"/>
          </w:tcPr>
          <w:p>
            <w:pPr>
              <w:jc w:val="center"/>
            </w:pPr>
            <w:r>
              <w:rPr>
                <w:sz w:val="20"/>
              </w:rPr>
              <w:t>Chuẩn hóa</w:t>
            </w:r>
          </w:p>
        </w:tc>
        <w:tc>
          <w:tcPr>
            <w:tcW w:type="dxa" w:w="3685"/>
            <w:vAlign w:val="center"/>
            <w:shd w:val="clear" w:color="auto" w:fill="F2F2F2"/>
          </w:tcPr>
          <w:p>
            <w:pPr>
              <w:jc w:val="center"/>
            </w:pPr>
            <w:r>
              <w:rPr>
                <w:sz w:val="20"/>
              </w:rPr>
              <w:t>[0, 1] (raw pixel)</w:t>
            </w:r>
          </w:p>
        </w:tc>
        <w:tc>
          <w:tcPr>
            <w:tcW w:type="dxa" w:w="3685"/>
            <w:vAlign w:val="center"/>
            <w:shd w:val="clear" w:color="auto" w:fill="F2F2F2"/>
          </w:tcPr>
          <w:p>
            <w:pPr>
              <w:jc w:val="center"/>
            </w:pPr>
            <w:r>
              <w:rPr>
                <w:sz w:val="20"/>
              </w:rPr>
              <w:t>mean=(0.491,0.482,0.447)</w:t>
              <w:br/>
              <w:t>std=(0.247,0.244,0.262)</w:t>
            </w:r>
          </w:p>
        </w:tc>
      </w:tr>
      <w:tr>
        <w:tc>
          <w:tcPr>
            <w:tcW w:type="dxa" w:w="2835"/>
            <w:vAlign w:val="center"/>
            <w:shd w:val="clear" w:color="auto" w:fill="FFFFFF"/>
          </w:tcPr>
          <w:p>
            <w:pPr>
              <w:jc w:val="center"/>
            </w:pPr>
            <w:r>
              <w:rPr>
                <w:sz w:val="20"/>
              </w:rPr>
              <w:t>Tập train</w:t>
            </w:r>
          </w:p>
        </w:tc>
        <w:tc>
          <w:tcPr>
            <w:tcW w:type="dxa" w:w="3685"/>
            <w:vAlign w:val="center"/>
            <w:shd w:val="clear" w:color="auto" w:fill="FFFFFF"/>
          </w:tcPr>
          <w:p>
            <w:pPr>
              <w:jc w:val="center"/>
            </w:pPr>
            <w:r>
              <w:rPr>
                <w:sz w:val="20"/>
              </w:rPr>
              <w:t>54,000 mẫu</w:t>
            </w:r>
          </w:p>
        </w:tc>
        <w:tc>
          <w:tcPr>
            <w:tcW w:type="dxa" w:w="3685"/>
            <w:vAlign w:val="center"/>
            <w:shd w:val="clear" w:color="auto" w:fill="FFFFFF"/>
          </w:tcPr>
          <w:p>
            <w:pPr>
              <w:jc w:val="center"/>
            </w:pPr>
            <w:r>
              <w:rPr>
                <w:sz w:val="20"/>
              </w:rPr>
              <w:t>45,000 mẫu</w:t>
            </w:r>
          </w:p>
        </w:tc>
      </w:tr>
      <w:tr>
        <w:tc>
          <w:tcPr>
            <w:tcW w:type="dxa" w:w="2835"/>
            <w:vAlign w:val="center"/>
            <w:shd w:val="clear" w:color="auto" w:fill="F2F2F2"/>
          </w:tcPr>
          <w:p>
            <w:pPr>
              <w:jc w:val="center"/>
            </w:pPr>
            <w:r>
              <w:rPr>
                <w:sz w:val="20"/>
              </w:rPr>
              <w:t>Tập validation</w:t>
            </w:r>
          </w:p>
        </w:tc>
        <w:tc>
          <w:tcPr>
            <w:tcW w:type="dxa" w:w="3685"/>
            <w:vAlign w:val="center"/>
            <w:shd w:val="clear" w:color="auto" w:fill="F2F2F2"/>
          </w:tcPr>
          <w:p>
            <w:pPr>
              <w:jc w:val="center"/>
            </w:pPr>
            <w:r>
              <w:rPr>
                <w:sz w:val="20"/>
              </w:rPr>
              <w:t>6,000 mẫu</w:t>
            </w:r>
          </w:p>
        </w:tc>
        <w:tc>
          <w:tcPr>
            <w:tcW w:type="dxa" w:w="3685"/>
            <w:vAlign w:val="center"/>
            <w:shd w:val="clear" w:color="auto" w:fill="F2F2F2"/>
          </w:tcPr>
          <w:p>
            <w:pPr>
              <w:jc w:val="center"/>
            </w:pPr>
            <w:r>
              <w:rPr>
                <w:sz w:val="20"/>
              </w:rPr>
              <w:t>5,000 mẫu</w:t>
            </w:r>
          </w:p>
        </w:tc>
      </w:tr>
      <w:tr>
        <w:tc>
          <w:tcPr>
            <w:tcW w:type="dxa" w:w="2835"/>
            <w:vAlign w:val="center"/>
            <w:shd w:val="clear" w:color="auto" w:fill="FFFFFF"/>
          </w:tcPr>
          <w:p>
            <w:pPr>
              <w:jc w:val="center"/>
            </w:pPr>
            <w:r>
              <w:rPr>
                <w:sz w:val="20"/>
              </w:rPr>
              <w:t>Tập test</w:t>
            </w:r>
          </w:p>
        </w:tc>
        <w:tc>
          <w:tcPr>
            <w:tcW w:type="dxa" w:w="3685"/>
            <w:vAlign w:val="center"/>
            <w:shd w:val="clear" w:color="auto" w:fill="FFFFFF"/>
          </w:tcPr>
          <w:p>
            <w:pPr>
              <w:jc w:val="center"/>
            </w:pPr>
            <w:r>
              <w:rPr>
                <w:sz w:val="20"/>
              </w:rPr>
              <w:t>10,000 mẫu</w:t>
            </w:r>
          </w:p>
        </w:tc>
        <w:tc>
          <w:tcPr>
            <w:tcW w:type="dxa" w:w="3685"/>
            <w:vAlign w:val="center"/>
            <w:shd w:val="clear" w:color="auto" w:fill="FFFFFF"/>
          </w:tcPr>
          <w:p>
            <w:pPr>
              <w:jc w:val="center"/>
            </w:pPr>
            <w:r>
              <w:rPr>
                <w:sz w:val="20"/>
              </w:rPr>
              <w:t>10,000 mẫu</w:t>
            </w:r>
          </w:p>
        </w:tc>
      </w:tr>
      <w:tr>
        <w:tc>
          <w:tcPr>
            <w:tcW w:type="dxa" w:w="2835"/>
            <w:vAlign w:val="center"/>
            <w:shd w:val="clear" w:color="auto" w:fill="F2F2F2"/>
          </w:tcPr>
          <w:p>
            <w:pPr>
              <w:jc w:val="center"/>
            </w:pPr>
            <w:r>
              <w:rPr>
                <w:sz w:val="20"/>
              </w:rPr>
              <w:t>Augmentation train</w:t>
            </w:r>
          </w:p>
        </w:tc>
        <w:tc>
          <w:tcPr>
            <w:tcW w:type="dxa" w:w="3685"/>
            <w:vAlign w:val="center"/>
            <w:shd w:val="clear" w:color="auto" w:fill="F2F2F2"/>
          </w:tcPr>
          <w:p>
            <w:pPr>
              <w:jc w:val="center"/>
            </w:pPr>
            <w:r>
              <w:rPr>
                <w:sz w:val="20"/>
              </w:rPr>
              <w:t>RandomAffine ±10°, dịch 10%</w:t>
            </w:r>
          </w:p>
        </w:tc>
        <w:tc>
          <w:tcPr>
            <w:tcW w:type="dxa" w:w="3685"/>
            <w:vAlign w:val="center"/>
            <w:shd w:val="clear" w:color="auto" w:fill="F2F2F2"/>
          </w:tcPr>
          <w:p>
            <w:pPr>
              <w:jc w:val="center"/>
            </w:pPr>
            <w:r>
              <w:rPr>
                <w:sz w:val="20"/>
              </w:rPr>
              <w:t>RandomCrop(32, pad=4) + RandomHorizontalFlip</w:t>
            </w:r>
          </w:p>
        </w:tc>
      </w:tr>
    </w:tbl>
    <w:p/>
    <w:p>
      <w:pPr>
        <w:pStyle w:val="Heading2"/>
        <w:jc w:val="left"/>
      </w:pPr>
      <w:r>
        <w:rPr>
          <w:color w:val="1F3864"/>
        </w:rPr>
        <w:t>3.2. Kiến trúc mô hình</w:t>
      </w:r>
    </w:p>
    <w:p>
      <w:pPr>
        <w:spacing w:after="120"/>
        <w:jc w:val="both"/>
      </w:pPr>
      <w:r>
        <w:rPr>
          <w:b w:val="0"/>
          <w:i w:val="0"/>
          <w:sz w:val="22"/>
        </w:rPr>
        <w:t>Thực nghiệm 1–4 sử dụng SimpleCNN tự xây dựng trên MNIST và CIFAR-10. Thực nghiệm 5 (Transfer Attack) bổ sung thêm ResNet18 và MobileNetV2 trên CIFAR-10 để tạo ra môi trường đa kiến trúc cho phép đánh giá khả năng chuyển tiếp tấn công:</w:t>
      </w:r>
    </w:p>
    <w:tbl>
      <w:tblPr>
        <w:tblStyle w:val="TableGrid"/>
        <w:tblW w:type="auto" w:w="0"/>
        <w:jc w:val="center"/>
        <w:tblLook w:firstColumn="1" w:firstRow="1" w:lastColumn="0" w:lastRow="0" w:noHBand="0" w:noVBand="1" w:val="04A0"/>
      </w:tblPr>
      <w:tblGrid>
        <w:gridCol w:w="3135"/>
        <w:gridCol w:w="3135"/>
        <w:gridCol w:w="3135"/>
      </w:tblGrid>
      <w:tr>
        <w:tc>
          <w:tcPr>
            <w:tcW w:type="dxa" w:w="1984"/>
            <w:vAlign w:val="center"/>
            <w:shd w:val="clear" w:color="auto" w:fill="1F3864"/>
          </w:tcPr>
          <w:p>
            <w:pPr>
              <w:jc w:val="center"/>
            </w:pPr>
            <w:r>
              <w:rPr>
                <w:b/>
                <w:color w:val="FFFFFF"/>
                <w:sz w:val="20"/>
              </w:rPr>
              <w:t>Thành phần</w:t>
            </w:r>
          </w:p>
        </w:tc>
        <w:tc>
          <w:tcPr>
            <w:tcW w:type="dxa" w:w="3969"/>
            <w:vAlign w:val="center"/>
            <w:shd w:val="clear" w:color="auto" w:fill="1F3864"/>
          </w:tcPr>
          <w:p>
            <w:pPr>
              <w:jc w:val="center"/>
            </w:pPr>
            <w:r>
              <w:rPr>
                <w:b/>
                <w:color w:val="FFFFFF"/>
                <w:sz w:val="20"/>
              </w:rPr>
              <w:t>MNIST (1×28×28)</w:t>
            </w:r>
          </w:p>
        </w:tc>
        <w:tc>
          <w:tcPr>
            <w:tcW w:type="dxa" w:w="3969"/>
            <w:vAlign w:val="center"/>
            <w:shd w:val="clear" w:color="auto" w:fill="1F3864"/>
          </w:tcPr>
          <w:p>
            <w:pPr>
              <w:jc w:val="center"/>
            </w:pPr>
            <w:r>
              <w:rPr>
                <w:b/>
                <w:color w:val="FFFFFF"/>
                <w:sz w:val="20"/>
              </w:rPr>
              <w:t>CIFAR-10 (3×32×32)</w:t>
            </w:r>
          </w:p>
        </w:tc>
      </w:tr>
      <w:tr>
        <w:tc>
          <w:tcPr>
            <w:tcW w:type="dxa" w:w="1984"/>
            <w:vAlign w:val="center"/>
            <w:shd w:val="clear" w:color="auto" w:fill="F2F2F2"/>
          </w:tcPr>
          <w:p>
            <w:pPr>
              <w:jc w:val="center"/>
            </w:pPr>
            <w:r>
              <w:rPr>
                <w:sz w:val="20"/>
              </w:rPr>
              <w:t>Block 1</w:t>
            </w:r>
          </w:p>
        </w:tc>
        <w:tc>
          <w:tcPr>
            <w:tcW w:type="dxa" w:w="3969"/>
            <w:vAlign w:val="center"/>
            <w:shd w:val="clear" w:color="auto" w:fill="F2F2F2"/>
          </w:tcPr>
          <w:p>
            <w:pPr>
              <w:jc w:val="center"/>
            </w:pPr>
            <w:r>
              <w:rPr>
                <w:sz w:val="20"/>
              </w:rPr>
              <w:t>Conv(1→32,3×3)→BN→ReLU</w:t>
              <w:br/>
              <w:t>Conv(32→32,3×3)→BN→ReLU</w:t>
              <w:br/>
              <w:t>MaxPool(2×2)→Dropout2d(0.25)</w:t>
            </w:r>
          </w:p>
        </w:tc>
        <w:tc>
          <w:tcPr>
            <w:tcW w:type="dxa" w:w="3969"/>
            <w:vAlign w:val="center"/>
            <w:shd w:val="clear" w:color="auto" w:fill="F2F2F2"/>
          </w:tcPr>
          <w:p>
            <w:pPr>
              <w:jc w:val="center"/>
            </w:pPr>
            <w:r>
              <w:rPr>
                <w:sz w:val="20"/>
              </w:rPr>
              <w:t>Conv(3→32,3×3)→BN→ReLU</w:t>
              <w:br/>
              <w:t>Conv(32→32,3×3)→BN→ReLU</w:t>
              <w:br/>
              <w:t>MaxPool(2×2)→Dropout2d(0.25)</w:t>
            </w:r>
          </w:p>
        </w:tc>
      </w:tr>
      <w:tr>
        <w:tc>
          <w:tcPr>
            <w:tcW w:type="dxa" w:w="1984"/>
            <w:vAlign w:val="center"/>
            <w:shd w:val="clear" w:color="auto" w:fill="FFFFFF"/>
          </w:tcPr>
          <w:p>
            <w:pPr>
              <w:jc w:val="center"/>
            </w:pPr>
            <w:r>
              <w:rPr>
                <w:sz w:val="20"/>
              </w:rPr>
              <w:t>Block 2</w:t>
            </w:r>
          </w:p>
        </w:tc>
        <w:tc>
          <w:tcPr>
            <w:tcW w:type="dxa" w:w="3969"/>
            <w:vAlign w:val="center"/>
            <w:shd w:val="clear" w:color="auto" w:fill="FFFFFF"/>
          </w:tcPr>
          <w:p>
            <w:pPr>
              <w:jc w:val="center"/>
            </w:pPr>
            <w:r>
              <w:rPr>
                <w:sz w:val="20"/>
              </w:rPr>
              <w:t>—</w:t>
            </w:r>
          </w:p>
        </w:tc>
        <w:tc>
          <w:tcPr>
            <w:tcW w:type="dxa" w:w="3969"/>
            <w:vAlign w:val="center"/>
            <w:shd w:val="clear" w:color="auto" w:fill="FFFFFF"/>
          </w:tcPr>
          <w:p>
            <w:pPr>
              <w:jc w:val="center"/>
            </w:pPr>
            <w:r>
              <w:rPr>
                <w:sz w:val="20"/>
              </w:rPr>
              <w:t>Conv(32→64,3×3)→BN→ReLU</w:t>
              <w:br/>
              <w:t>Conv(64→64,3×3)→BN→ReLU</w:t>
              <w:br/>
              <w:t>MaxPool(2×2)→Dropout2d(0.25)</w:t>
            </w:r>
          </w:p>
        </w:tc>
      </w:tr>
      <w:tr>
        <w:tc>
          <w:tcPr>
            <w:tcW w:type="dxa" w:w="1984"/>
            <w:vAlign w:val="center"/>
            <w:shd w:val="clear" w:color="auto" w:fill="F2F2F2"/>
          </w:tcPr>
          <w:p>
            <w:pPr>
              <w:jc w:val="center"/>
            </w:pPr>
            <w:r>
              <w:rPr>
                <w:sz w:val="20"/>
              </w:rPr>
              <w:t>Classifier</w:t>
            </w:r>
          </w:p>
        </w:tc>
        <w:tc>
          <w:tcPr>
            <w:tcW w:type="dxa" w:w="3969"/>
            <w:vAlign w:val="center"/>
            <w:shd w:val="clear" w:color="auto" w:fill="F2F2F2"/>
          </w:tcPr>
          <w:p>
            <w:pPr>
              <w:jc w:val="center"/>
            </w:pPr>
            <w:r>
              <w:rPr>
                <w:sz w:val="20"/>
              </w:rPr>
              <w:t>Flatten→Linear(6272→512)</w:t>
              <w:br/>
              <w:t>→ReLU→Dropout(0.5)→Linear(512→10)</w:t>
            </w:r>
          </w:p>
        </w:tc>
        <w:tc>
          <w:tcPr>
            <w:tcW w:type="dxa" w:w="3969"/>
            <w:vAlign w:val="center"/>
            <w:shd w:val="clear" w:color="auto" w:fill="F2F2F2"/>
          </w:tcPr>
          <w:p>
            <w:pPr>
              <w:jc w:val="center"/>
            </w:pPr>
            <w:r>
              <w:rPr>
                <w:sz w:val="20"/>
              </w:rPr>
              <w:t>Flatten→Linear(4096→512)</w:t>
              <w:br/>
              <w:t>→ReLU→Dropout(0.5)→Linear(512→10)</w:t>
            </w:r>
          </w:p>
        </w:tc>
      </w:tr>
    </w:tbl>
    <w:p/>
    <w:p>
      <w:pPr>
        <w:pStyle w:val="Heading2"/>
        <w:jc w:val="left"/>
      </w:pPr>
      <w:r>
        <w:rPr>
          <w:color w:val="1F3864"/>
        </w:rPr>
        <w:t>3.3. Hyperparameter huấn luyện</w:t>
      </w:r>
    </w:p>
    <w:tbl>
      <w:tblPr>
        <w:tblStyle w:val="TableGrid"/>
        <w:tblW w:type="auto" w:w="0"/>
        <w:jc w:val="center"/>
        <w:tblLook w:firstColumn="1" w:firstRow="1" w:lastColumn="0" w:lastRow="0" w:noHBand="0" w:noVBand="1" w:val="04A0"/>
      </w:tblPr>
      <w:tblGrid>
        <w:gridCol w:w="4702"/>
        <w:gridCol w:w="4702"/>
      </w:tblGrid>
      <w:tr>
        <w:tc>
          <w:tcPr>
            <w:tcW w:type="dxa" w:w="3118"/>
            <w:vAlign w:val="center"/>
            <w:shd w:val="clear" w:color="auto" w:fill="1F3864"/>
          </w:tcPr>
          <w:p>
            <w:pPr>
              <w:jc w:val="center"/>
            </w:pPr>
            <w:r>
              <w:rPr>
                <w:b/>
                <w:color w:val="FFFFFF"/>
                <w:sz w:val="20"/>
              </w:rPr>
              <w:t>Tham số</w:t>
            </w:r>
          </w:p>
        </w:tc>
        <w:tc>
          <w:tcPr>
            <w:tcW w:type="dxa" w:w="6520"/>
            <w:vAlign w:val="center"/>
            <w:shd w:val="clear" w:color="auto" w:fill="1F3864"/>
          </w:tcPr>
          <w:p>
            <w:pPr>
              <w:jc w:val="center"/>
            </w:pPr>
            <w:r>
              <w:rPr>
                <w:b/>
                <w:color w:val="FFFFFF"/>
                <w:sz w:val="20"/>
              </w:rPr>
              <w:t>Giá trị</w:t>
            </w:r>
          </w:p>
        </w:tc>
      </w:tr>
      <w:tr>
        <w:tc>
          <w:tcPr>
            <w:tcW w:type="dxa" w:w="3118"/>
            <w:vAlign w:val="center"/>
            <w:shd w:val="clear" w:color="auto" w:fill="F2F2F2"/>
          </w:tcPr>
          <w:p>
            <w:pPr>
              <w:jc w:val="center"/>
            </w:pPr>
            <w:r>
              <w:rPr>
                <w:sz w:val="20"/>
              </w:rPr>
              <w:t>Optimizer</w:t>
            </w:r>
          </w:p>
        </w:tc>
        <w:tc>
          <w:tcPr>
            <w:tcW w:type="dxa" w:w="6520"/>
            <w:vAlign w:val="center"/>
            <w:shd w:val="clear" w:color="auto" w:fill="F2F2F2"/>
          </w:tcPr>
          <w:p>
            <w:pPr>
              <w:jc w:val="center"/>
            </w:pPr>
            <w:r>
              <w:rPr>
                <w:sz w:val="20"/>
              </w:rPr>
              <w:t>Adam (lr=0.001, weight_decay=1e-4)</w:t>
            </w:r>
          </w:p>
        </w:tc>
      </w:tr>
      <w:tr>
        <w:tc>
          <w:tcPr>
            <w:tcW w:type="dxa" w:w="3118"/>
            <w:vAlign w:val="center"/>
            <w:shd w:val="clear" w:color="auto" w:fill="FFFFFF"/>
          </w:tcPr>
          <w:p>
            <w:pPr>
              <w:jc w:val="center"/>
            </w:pPr>
            <w:r>
              <w:rPr>
                <w:sz w:val="20"/>
              </w:rPr>
              <w:t>LR Scheduler</w:t>
            </w:r>
          </w:p>
        </w:tc>
        <w:tc>
          <w:tcPr>
            <w:tcW w:type="dxa" w:w="6520"/>
            <w:vAlign w:val="center"/>
            <w:shd w:val="clear" w:color="auto" w:fill="FFFFFF"/>
          </w:tcPr>
          <w:p>
            <w:pPr>
              <w:jc w:val="center"/>
            </w:pPr>
            <w:r>
              <w:rPr>
                <w:sz w:val="20"/>
              </w:rPr>
              <w:t>StepLR (step=10, γ=0.1)</w:t>
            </w:r>
          </w:p>
        </w:tc>
      </w:tr>
      <w:tr>
        <w:tc>
          <w:tcPr>
            <w:tcW w:type="dxa" w:w="3118"/>
            <w:vAlign w:val="center"/>
            <w:shd w:val="clear" w:color="auto" w:fill="F2F2F2"/>
          </w:tcPr>
          <w:p>
            <w:pPr>
              <w:jc w:val="center"/>
            </w:pPr>
            <w:r>
              <w:rPr>
                <w:sz w:val="20"/>
              </w:rPr>
              <w:t>Epochs</w:t>
            </w:r>
          </w:p>
        </w:tc>
        <w:tc>
          <w:tcPr>
            <w:tcW w:type="dxa" w:w="6520"/>
            <w:vAlign w:val="center"/>
            <w:shd w:val="clear" w:color="auto" w:fill="F2F2F2"/>
          </w:tcPr>
          <w:p>
            <w:pPr>
              <w:jc w:val="center"/>
            </w:pPr>
            <w:r>
              <w:rPr>
                <w:sz w:val="20"/>
              </w:rPr>
              <w:t>20</w:t>
            </w:r>
          </w:p>
        </w:tc>
      </w:tr>
      <w:tr>
        <w:tc>
          <w:tcPr>
            <w:tcW w:type="dxa" w:w="3118"/>
            <w:vAlign w:val="center"/>
            <w:shd w:val="clear" w:color="auto" w:fill="FFFFFF"/>
          </w:tcPr>
          <w:p>
            <w:pPr>
              <w:jc w:val="center"/>
            </w:pPr>
            <w:r>
              <w:rPr>
                <w:sz w:val="20"/>
              </w:rPr>
              <w:t>Batch size</w:t>
            </w:r>
          </w:p>
        </w:tc>
        <w:tc>
          <w:tcPr>
            <w:tcW w:type="dxa" w:w="6520"/>
            <w:vAlign w:val="center"/>
            <w:shd w:val="clear" w:color="auto" w:fill="FFFFFF"/>
          </w:tcPr>
          <w:p>
            <w:pPr>
              <w:jc w:val="center"/>
            </w:pPr>
            <w:r>
              <w:rPr>
                <w:sz w:val="20"/>
              </w:rPr>
              <w:t>64</w:t>
            </w:r>
          </w:p>
        </w:tc>
      </w:tr>
      <w:tr>
        <w:tc>
          <w:tcPr>
            <w:tcW w:type="dxa" w:w="3118"/>
            <w:vAlign w:val="center"/>
            <w:shd w:val="clear" w:color="auto" w:fill="F2F2F2"/>
          </w:tcPr>
          <w:p>
            <w:pPr>
              <w:jc w:val="center"/>
            </w:pPr>
            <w:r>
              <w:rPr>
                <w:sz w:val="20"/>
              </w:rPr>
              <w:t>Loss function</w:t>
            </w:r>
          </w:p>
        </w:tc>
        <w:tc>
          <w:tcPr>
            <w:tcW w:type="dxa" w:w="6520"/>
            <w:vAlign w:val="center"/>
            <w:shd w:val="clear" w:color="auto" w:fill="F2F2F2"/>
          </w:tcPr>
          <w:p>
            <w:pPr>
              <w:jc w:val="center"/>
            </w:pPr>
            <w:r>
              <w:rPr>
                <w:sz w:val="20"/>
              </w:rPr>
              <w:t>Cross-Entropy</w:t>
            </w:r>
          </w:p>
        </w:tc>
      </w:tr>
      <w:tr>
        <w:tc>
          <w:tcPr>
            <w:tcW w:type="dxa" w:w="3118"/>
            <w:vAlign w:val="center"/>
            <w:shd w:val="clear" w:color="auto" w:fill="FFFFFF"/>
          </w:tcPr>
          <w:p>
            <w:pPr>
              <w:jc w:val="center"/>
            </w:pPr>
            <w:r>
              <w:rPr>
                <w:sz w:val="20"/>
              </w:rPr>
              <w:t>Checkpointing</w:t>
            </w:r>
          </w:p>
        </w:tc>
        <w:tc>
          <w:tcPr>
            <w:tcW w:type="dxa" w:w="6520"/>
            <w:vAlign w:val="center"/>
            <w:shd w:val="clear" w:color="auto" w:fill="FFFFFF"/>
          </w:tcPr>
          <w:p>
            <w:pPr>
              <w:jc w:val="center"/>
            </w:pPr>
            <w:r>
              <w:rPr>
                <w:sz w:val="20"/>
              </w:rPr>
              <w:t>Lưu model tốt nhất theo val accuracy</w:t>
            </w:r>
          </w:p>
        </w:tc>
      </w:tr>
    </w:tbl>
    <w:p/>
    <w:p>
      <w:pPr>
        <w:pStyle w:val="Heading2"/>
        <w:jc w:val="left"/>
      </w:pPr>
      <w:r>
        <w:rPr>
          <w:color w:val="1F3864"/>
        </w:rPr>
        <w:t>3.4. Cấu hình tấn công</w:t>
      </w:r>
    </w:p>
    <w:tbl>
      <w:tblPr>
        <w:tblStyle w:val="TableGrid"/>
        <w:tblW w:type="auto" w:w="0"/>
        <w:jc w:val="center"/>
        <w:tblLook w:firstColumn="1" w:firstRow="1" w:lastColumn="0" w:lastRow="0" w:noHBand="0" w:noVBand="1" w:val="04A0"/>
      </w:tblPr>
      <w:tblGrid>
        <w:gridCol w:w="3135"/>
        <w:gridCol w:w="3135"/>
        <w:gridCol w:w="3135"/>
      </w:tblGrid>
      <w:tr>
        <w:tc>
          <w:tcPr>
            <w:tcW w:type="dxa" w:w="2551"/>
            <w:vAlign w:val="center"/>
            <w:shd w:val="clear" w:color="auto" w:fill="1F3864"/>
          </w:tcPr>
          <w:p>
            <w:pPr>
              <w:jc w:val="center"/>
            </w:pPr>
            <w:r>
              <w:rPr>
                <w:b/>
                <w:color w:val="FFFFFF"/>
                <w:sz w:val="20"/>
              </w:rPr>
              <w:t>Tham số</w:t>
            </w:r>
          </w:p>
        </w:tc>
        <w:tc>
          <w:tcPr>
            <w:tcW w:type="dxa" w:w="3402"/>
            <w:vAlign w:val="center"/>
            <w:shd w:val="clear" w:color="auto" w:fill="1F3864"/>
          </w:tcPr>
          <w:p>
            <w:pPr>
              <w:jc w:val="center"/>
            </w:pPr>
            <w:r>
              <w:rPr>
                <w:b/>
                <w:color w:val="FFFFFF"/>
                <w:sz w:val="20"/>
              </w:rPr>
              <w:t>Giá trị</w:t>
            </w:r>
          </w:p>
        </w:tc>
        <w:tc>
          <w:tcPr>
            <w:tcW w:type="dxa" w:w="3969"/>
            <w:vAlign w:val="center"/>
            <w:shd w:val="clear" w:color="auto" w:fill="1F3864"/>
          </w:tcPr>
          <w:p>
            <w:pPr>
              <w:jc w:val="center"/>
            </w:pPr>
            <w:r>
              <w:rPr>
                <w:b/>
                <w:color w:val="FFFFFF"/>
                <w:sz w:val="20"/>
              </w:rPr>
              <w:t>Ghi chú</w:t>
            </w:r>
          </w:p>
        </w:tc>
      </w:tr>
      <w:tr>
        <w:tc>
          <w:tcPr>
            <w:tcW w:type="dxa" w:w="2551"/>
            <w:vAlign w:val="center"/>
            <w:shd w:val="clear" w:color="auto" w:fill="F2F2F2"/>
          </w:tcPr>
          <w:p>
            <w:pPr>
              <w:jc w:val="center"/>
            </w:pPr>
            <w:r>
              <w:rPr>
                <w:sz w:val="20"/>
              </w:rPr>
              <w:t>ε (epsilon_list)</w:t>
            </w:r>
          </w:p>
        </w:tc>
        <w:tc>
          <w:tcPr>
            <w:tcW w:type="dxa" w:w="3402"/>
            <w:vAlign w:val="center"/>
            <w:shd w:val="clear" w:color="auto" w:fill="F2F2F2"/>
          </w:tcPr>
          <w:p>
            <w:pPr>
              <w:jc w:val="center"/>
            </w:pPr>
            <w:r>
              <w:rPr>
                <w:sz w:val="20"/>
              </w:rPr>
              <w:t>[0.05, 0.10, 0.15, 0.20, 0.25, 0.30]</w:t>
            </w:r>
          </w:p>
        </w:tc>
        <w:tc>
          <w:tcPr>
            <w:tcW w:type="dxa" w:w="3969"/>
            <w:vAlign w:val="center"/>
            <w:shd w:val="clear" w:color="auto" w:fill="F2F2F2"/>
          </w:tcPr>
          <w:p>
            <w:pPr>
              <w:jc w:val="center"/>
            </w:pPr>
            <w:r>
              <w:rPr>
                <w:sz w:val="20"/>
              </w:rPr>
              <w:t>Dùng cho Thực nghiệm 1</w:t>
            </w:r>
          </w:p>
        </w:tc>
      </w:tr>
      <w:tr>
        <w:tc>
          <w:tcPr>
            <w:tcW w:type="dxa" w:w="2551"/>
            <w:vAlign w:val="center"/>
            <w:shd w:val="clear" w:color="auto" w:fill="FFFFFF"/>
          </w:tcPr>
          <w:p>
            <w:pPr>
              <w:jc w:val="center"/>
            </w:pPr>
            <w:r>
              <w:rPr>
                <w:sz w:val="20"/>
              </w:rPr>
              <w:t>steps_epsilon</w:t>
            </w:r>
          </w:p>
        </w:tc>
        <w:tc>
          <w:tcPr>
            <w:tcW w:type="dxa" w:w="3402"/>
            <w:vAlign w:val="center"/>
            <w:shd w:val="clear" w:color="auto" w:fill="FFFFFF"/>
          </w:tcPr>
          <w:p>
            <w:pPr>
              <w:jc w:val="center"/>
            </w:pPr>
            <w:r>
              <w:rPr>
                <w:sz w:val="20"/>
              </w:rPr>
              <w:t>0.10</w:t>
            </w:r>
          </w:p>
        </w:tc>
        <w:tc>
          <w:tcPr>
            <w:tcW w:type="dxa" w:w="3969"/>
            <w:vAlign w:val="center"/>
            <w:shd w:val="clear" w:color="auto" w:fill="FFFFFF"/>
          </w:tcPr>
          <w:p>
            <w:pPr>
              <w:jc w:val="center"/>
            </w:pPr>
            <w:r>
              <w:rPr>
                <w:sz w:val="20"/>
              </w:rPr>
              <w:t>ε cố định cho Thực nghiệm 2</w:t>
            </w:r>
          </w:p>
        </w:tc>
      </w:tr>
      <w:tr>
        <w:tc>
          <w:tcPr>
            <w:tcW w:type="dxa" w:w="2551"/>
            <w:vAlign w:val="center"/>
            <w:shd w:val="clear" w:color="auto" w:fill="F2F2F2"/>
          </w:tcPr>
          <w:p>
            <w:pPr>
              <w:jc w:val="center"/>
            </w:pPr>
            <w:r>
              <w:rPr>
                <w:sz w:val="20"/>
              </w:rPr>
              <w:t>T (steps_list)</w:t>
            </w:r>
          </w:p>
        </w:tc>
        <w:tc>
          <w:tcPr>
            <w:tcW w:type="dxa" w:w="3402"/>
            <w:vAlign w:val="center"/>
            <w:shd w:val="clear" w:color="auto" w:fill="F2F2F2"/>
          </w:tcPr>
          <w:p>
            <w:pPr>
              <w:jc w:val="center"/>
            </w:pPr>
            <w:r>
              <w:rPr>
                <w:sz w:val="20"/>
              </w:rPr>
              <w:t>[5, 10, 20, 40]</w:t>
            </w:r>
          </w:p>
        </w:tc>
        <w:tc>
          <w:tcPr>
            <w:tcW w:type="dxa" w:w="3969"/>
            <w:vAlign w:val="center"/>
            <w:shd w:val="clear" w:color="auto" w:fill="F2F2F2"/>
          </w:tcPr>
          <w:p>
            <w:pPr>
              <w:jc w:val="center"/>
            </w:pPr>
            <w:r>
              <w:rPr>
                <w:sz w:val="20"/>
              </w:rPr>
              <w:t>Dùng cho Thực nghiệm 2</w:t>
            </w:r>
          </w:p>
        </w:tc>
      </w:tr>
      <w:tr>
        <w:tc>
          <w:tcPr>
            <w:tcW w:type="dxa" w:w="2551"/>
            <w:vAlign w:val="center"/>
            <w:shd w:val="clear" w:color="auto" w:fill="FFFFFF"/>
          </w:tcPr>
          <w:p>
            <w:pPr>
              <w:jc w:val="center"/>
            </w:pPr>
            <w:r>
              <w:rPr>
                <w:sz w:val="20"/>
              </w:rPr>
              <w:t>α (alpha)</w:t>
            </w:r>
          </w:p>
        </w:tc>
        <w:tc>
          <w:tcPr>
            <w:tcW w:type="dxa" w:w="3402"/>
            <w:vAlign w:val="center"/>
            <w:shd w:val="clear" w:color="auto" w:fill="FFFFFF"/>
          </w:tcPr>
          <w:p>
            <w:pPr>
              <w:jc w:val="center"/>
            </w:pPr>
            <w:r>
              <w:rPr>
                <w:sz w:val="20"/>
              </w:rPr>
              <w:t>ε / T (tự tính)</w:t>
            </w:r>
          </w:p>
        </w:tc>
        <w:tc>
          <w:tcPr>
            <w:tcW w:type="dxa" w:w="3969"/>
            <w:vAlign w:val="center"/>
            <w:shd w:val="clear" w:color="auto" w:fill="FFFFFF"/>
          </w:tcPr>
          <w:p>
            <w:pPr>
              <w:jc w:val="center"/>
            </w:pPr>
            <w:r>
              <w:rPr>
                <w:sz w:val="20"/>
              </w:rPr>
              <w:t>Bước mỗi iteration</w:t>
            </w:r>
          </w:p>
        </w:tc>
      </w:tr>
      <w:tr>
        <w:tc>
          <w:tcPr>
            <w:tcW w:type="dxa" w:w="2551"/>
            <w:vAlign w:val="center"/>
            <w:shd w:val="clear" w:color="auto" w:fill="F2F2F2"/>
          </w:tcPr>
          <w:p>
            <w:pPr>
              <w:jc w:val="center"/>
            </w:pPr>
            <w:r>
              <w:rPr>
                <w:sz w:val="20"/>
              </w:rPr>
              <w:t>Targeted</w:t>
            </w:r>
          </w:p>
        </w:tc>
        <w:tc>
          <w:tcPr>
            <w:tcW w:type="dxa" w:w="3402"/>
            <w:vAlign w:val="center"/>
            <w:shd w:val="clear" w:color="auto" w:fill="F2F2F2"/>
          </w:tcPr>
          <w:p>
            <w:pPr>
              <w:jc w:val="center"/>
            </w:pPr>
            <w:r>
              <w:rPr>
                <w:sz w:val="20"/>
              </w:rPr>
              <w:t>False</w:t>
            </w:r>
          </w:p>
        </w:tc>
        <w:tc>
          <w:tcPr>
            <w:tcW w:type="dxa" w:w="3969"/>
            <w:vAlign w:val="center"/>
            <w:shd w:val="clear" w:color="auto" w:fill="F2F2F2"/>
          </w:tcPr>
          <w:p>
            <w:pPr>
              <w:jc w:val="center"/>
            </w:pPr>
            <w:r>
              <w:rPr>
                <w:sz w:val="20"/>
              </w:rPr>
              <w:t>Untargeted attack</w:t>
            </w:r>
          </w:p>
        </w:tc>
      </w:tr>
      <w:tr>
        <w:tc>
          <w:tcPr>
            <w:tcW w:type="dxa" w:w="2551"/>
            <w:vAlign w:val="center"/>
            <w:shd w:val="clear" w:color="auto" w:fill="FFFFFF"/>
          </w:tcPr>
          <w:p>
            <w:pPr>
              <w:jc w:val="center"/>
            </w:pPr>
            <w:r>
              <w:rPr>
                <w:sz w:val="20"/>
              </w:rPr>
              <w:t>Clip range</w:t>
            </w:r>
          </w:p>
        </w:tc>
        <w:tc>
          <w:tcPr>
            <w:tcW w:type="dxa" w:w="3402"/>
            <w:vAlign w:val="center"/>
            <w:shd w:val="clear" w:color="auto" w:fill="FFFFFF"/>
          </w:tcPr>
          <w:p>
            <w:pPr>
              <w:jc w:val="center"/>
            </w:pPr>
            <w:r>
              <w:rPr>
                <w:sz w:val="20"/>
              </w:rPr>
              <w:t>[0.0, 1.0]</w:t>
            </w:r>
          </w:p>
        </w:tc>
        <w:tc>
          <w:tcPr>
            <w:tcW w:type="dxa" w:w="3969"/>
            <w:vAlign w:val="center"/>
            <w:shd w:val="clear" w:color="auto" w:fill="FFFFFF"/>
          </w:tcPr>
          <w:p>
            <w:pPr>
              <w:jc w:val="center"/>
            </w:pPr>
            <w:r>
              <w:rPr>
                <w:sz w:val="20"/>
              </w:rPr>
              <w:t>Giới hạn giá trị pixel</w:t>
            </w:r>
          </w:p>
        </w:tc>
      </w:tr>
    </w:tbl>
    <w:p/>
    <w:p/>
    <w:p>
      <w:pPr>
        <w:pStyle w:val="Heading1"/>
        <w:jc w:val="left"/>
      </w:pPr>
      <w:r>
        <w:rPr>
          <w:color w:val="1F3864"/>
        </w:rPr>
        <w:t>4. Kết quả huấn luyện</w:t>
      </w:r>
    </w:p>
    <w:p>
      <w:pPr>
        <w:spacing w:after="120"/>
        <w:jc w:val="both"/>
      </w:pPr>
      <w:r>
        <w:rPr>
          <w:b w:val="0"/>
          <w:i w:val="0"/>
          <w:sz w:val="22"/>
        </w:rPr>
        <w:t>Tất cả mô hình được huấn luyện trong 20 epoch với cùng hyperparameter. Kết quả cuối cùng trên tập test: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vAlign w:val="center"/>
            <w:shd w:val="clear" w:color="auto" w:fill="1F3864"/>
          </w:tcPr>
          <w:p>
            <w:pPr>
              <w:jc w:val="center"/>
            </w:pPr>
            <w:r>
              <w:rPr>
                <w:b/>
                <w:color w:val="FFFFFF"/>
                <w:sz w:val="20"/>
              </w:rPr>
              <w:t>Dataset</w:t>
            </w:r>
          </w:p>
        </w:tc>
        <w:tc>
          <w:tcPr>
            <w:tcW w:type="dxa" w:w="1984"/>
            <w:vAlign w:val="center"/>
            <w:shd w:val="clear" w:color="auto" w:fill="1F3864"/>
          </w:tcPr>
          <w:p>
            <w:pPr>
              <w:jc w:val="center"/>
            </w:pPr>
            <w:r>
              <w:rPr>
                <w:b/>
                <w:color w:val="FFFFFF"/>
                <w:sz w:val="20"/>
              </w:rPr>
              <w:t>Mô hình</w:t>
            </w:r>
          </w:p>
        </w:tc>
        <w:tc>
          <w:tcPr>
            <w:tcW w:type="dxa" w:w="3118"/>
            <w:vAlign w:val="center"/>
            <w:shd w:val="clear" w:color="auto" w:fill="1F3864"/>
          </w:tcPr>
          <w:p>
            <w:pPr>
              <w:jc w:val="center"/>
            </w:pPr>
            <w:r>
              <w:rPr>
                <w:b/>
                <w:color w:val="FFFFFF"/>
                <w:sz w:val="20"/>
              </w:rPr>
              <w:t>Val Accuracy tốt nhất</w:t>
            </w:r>
          </w:p>
        </w:tc>
        <w:tc>
          <w:tcPr>
            <w:tcW w:type="dxa" w:w="3118"/>
            <w:vAlign w:val="center"/>
            <w:shd w:val="clear" w:color="auto" w:fill="1F3864"/>
          </w:tcPr>
          <w:p>
            <w:pPr>
              <w:jc w:val="center"/>
            </w:pPr>
            <w:r>
              <w:rPr>
                <w:b/>
                <w:color w:val="FFFFFF"/>
                <w:sz w:val="20"/>
              </w:rPr>
              <w:t>Test Accuracy</w:t>
            </w:r>
          </w:p>
        </w:tc>
      </w:tr>
      <w:tr>
        <w:tc>
          <w:tcPr>
            <w:tcW w:type="dxa" w:w="1984"/>
            <w:vAlign w:val="center"/>
            <w:shd w:val="clear" w:color="auto" w:fill="F2F2F2"/>
          </w:tcPr>
          <w:p>
            <w:pPr>
              <w:jc w:val="center"/>
            </w:pPr>
            <w:r>
              <w:rPr>
                <w:sz w:val="20"/>
              </w:rPr>
              <w:t>MNIST</w:t>
            </w:r>
          </w:p>
        </w:tc>
        <w:tc>
          <w:tcPr>
            <w:tcW w:type="dxa" w:w="1984"/>
            <w:vAlign w:val="center"/>
            <w:shd w:val="clear" w:color="auto" w:fill="F2F2F2"/>
          </w:tcPr>
          <w:p>
            <w:pPr>
              <w:jc w:val="center"/>
            </w:pPr>
            <w:r>
              <w:rPr>
                <w:sz w:val="20"/>
              </w:rPr>
              <w:t>SimpleCNN</w:t>
            </w:r>
          </w:p>
        </w:tc>
        <w:tc>
          <w:tcPr>
            <w:tcW w:type="dxa" w:w="3118"/>
            <w:vAlign w:val="center"/>
            <w:shd w:val="clear" w:color="auto" w:fill="F2F2F2"/>
          </w:tcPr>
          <w:p>
            <w:pPr>
              <w:jc w:val="center"/>
            </w:pPr>
            <w:r>
              <w:rPr>
                <w:sz w:val="20"/>
              </w:rPr>
              <w:t>98.98%</w:t>
            </w:r>
          </w:p>
        </w:tc>
        <w:tc>
          <w:tcPr>
            <w:tcW w:type="dxa" w:w="3118"/>
            <w:vAlign w:val="center"/>
            <w:shd w:val="clear" w:color="auto" w:fill="F2F2F2"/>
          </w:tcPr>
          <w:p>
            <w:pPr>
              <w:jc w:val="center"/>
            </w:pPr>
            <w:r>
              <w:rPr>
                <w:sz w:val="20"/>
              </w:rPr>
              <w:t>99.45%</w:t>
            </w:r>
          </w:p>
        </w:tc>
      </w:tr>
      <w:tr>
        <w:tc>
          <w:tcPr>
            <w:tcW w:type="dxa" w:w="1984"/>
            <w:vAlign w:val="center"/>
            <w:shd w:val="clear" w:color="auto" w:fill="FFFFFF"/>
          </w:tcPr>
          <w:p>
            <w:pPr>
              <w:jc w:val="center"/>
            </w:pPr>
            <w:r>
              <w:rPr>
                <w:sz w:val="20"/>
              </w:rPr>
              <w:t>CIFAR-10</w:t>
            </w:r>
          </w:p>
        </w:tc>
        <w:tc>
          <w:tcPr>
            <w:tcW w:type="dxa" w:w="1984"/>
            <w:vAlign w:val="center"/>
            <w:shd w:val="clear" w:color="auto" w:fill="FFFFFF"/>
          </w:tcPr>
          <w:p>
            <w:pPr>
              <w:jc w:val="center"/>
            </w:pPr>
            <w:r>
              <w:rPr>
                <w:sz w:val="20"/>
              </w:rPr>
              <w:t>SimpleCNN</w:t>
            </w:r>
          </w:p>
        </w:tc>
        <w:tc>
          <w:tcPr>
            <w:tcW w:type="dxa" w:w="3118"/>
            <w:vAlign w:val="center"/>
            <w:shd w:val="clear" w:color="auto" w:fill="FFFFFF"/>
          </w:tcPr>
          <w:p>
            <w:pPr>
              <w:jc w:val="center"/>
            </w:pPr>
            <w:r>
              <w:rPr>
                <w:sz w:val="20"/>
              </w:rPr>
              <w:t>—</w:t>
            </w:r>
          </w:p>
        </w:tc>
        <w:tc>
          <w:tcPr>
            <w:tcW w:type="dxa" w:w="3118"/>
            <w:vAlign w:val="center"/>
            <w:shd w:val="clear" w:color="auto" w:fill="FFFFFF"/>
          </w:tcPr>
          <w:p>
            <w:pPr>
              <w:jc w:val="center"/>
            </w:pPr>
            <w:r>
              <w:rPr>
                <w:sz w:val="20"/>
              </w:rPr>
              <w:t>76.02%</w:t>
            </w:r>
          </w:p>
        </w:tc>
      </w:tr>
      <w:tr>
        <w:tc>
          <w:tcPr>
            <w:tcW w:type="dxa" w:w="1984"/>
            <w:vAlign w:val="center"/>
            <w:shd w:val="clear" w:color="auto" w:fill="F2F2F2"/>
          </w:tcPr>
          <w:p>
            <w:pPr>
              <w:jc w:val="center"/>
            </w:pPr>
            <w:r>
              <w:rPr>
                <w:sz w:val="20"/>
              </w:rPr>
              <w:t>CIFAR-10</w:t>
            </w:r>
          </w:p>
        </w:tc>
        <w:tc>
          <w:tcPr>
            <w:tcW w:type="dxa" w:w="1984"/>
            <w:vAlign w:val="center"/>
            <w:shd w:val="clear" w:color="auto" w:fill="F2F2F2"/>
          </w:tcPr>
          <w:p>
            <w:pPr>
              <w:jc w:val="center"/>
            </w:pPr>
            <w:r>
              <w:rPr>
                <w:sz w:val="20"/>
              </w:rPr>
              <w:t>ResNet18</w:t>
            </w:r>
          </w:p>
        </w:tc>
        <w:tc>
          <w:tcPr>
            <w:tcW w:type="dxa" w:w="3118"/>
            <w:vAlign w:val="center"/>
            <w:shd w:val="clear" w:color="auto" w:fill="F2F2F2"/>
          </w:tcPr>
          <w:p>
            <w:pPr>
              <w:jc w:val="center"/>
            </w:pPr>
            <w:r>
              <w:rPr>
                <w:sz w:val="20"/>
              </w:rPr>
              <w:t>81.86%</w:t>
            </w:r>
          </w:p>
        </w:tc>
        <w:tc>
          <w:tcPr>
            <w:tcW w:type="dxa" w:w="3118"/>
            <w:vAlign w:val="center"/>
            <w:shd w:val="clear" w:color="auto" w:fill="F2F2F2"/>
          </w:tcPr>
          <w:p>
            <w:pPr>
              <w:jc w:val="center"/>
            </w:pPr>
            <w:r>
              <w:rPr>
                <w:sz w:val="20"/>
              </w:rPr>
              <w:t>82.00%</w:t>
            </w:r>
          </w:p>
        </w:tc>
      </w:tr>
      <w:tr>
        <w:tc>
          <w:tcPr>
            <w:tcW w:type="dxa" w:w="1984"/>
            <w:vAlign w:val="center"/>
            <w:shd w:val="clear" w:color="auto" w:fill="FFFFFF"/>
          </w:tcPr>
          <w:p>
            <w:pPr>
              <w:jc w:val="center"/>
            </w:pPr>
            <w:r>
              <w:rPr>
                <w:sz w:val="20"/>
              </w:rPr>
              <w:t>CIFAR-10</w:t>
            </w:r>
          </w:p>
        </w:tc>
        <w:tc>
          <w:tcPr>
            <w:tcW w:type="dxa" w:w="1984"/>
            <w:vAlign w:val="center"/>
            <w:shd w:val="clear" w:color="auto" w:fill="FFFFFF"/>
          </w:tcPr>
          <w:p>
            <w:pPr>
              <w:jc w:val="center"/>
            </w:pPr>
            <w:r>
              <w:rPr>
                <w:sz w:val="20"/>
              </w:rPr>
              <w:t>MobileNetV2</w:t>
            </w:r>
          </w:p>
        </w:tc>
        <w:tc>
          <w:tcPr>
            <w:tcW w:type="dxa" w:w="3118"/>
            <w:vAlign w:val="center"/>
            <w:shd w:val="clear" w:color="auto" w:fill="FFFFFF"/>
          </w:tcPr>
          <w:p>
            <w:pPr>
              <w:jc w:val="center"/>
            </w:pPr>
            <w:r>
              <w:rPr>
                <w:sz w:val="20"/>
              </w:rPr>
              <w:t>84.12%</w:t>
            </w:r>
          </w:p>
        </w:tc>
        <w:tc>
          <w:tcPr>
            <w:tcW w:type="dxa" w:w="3118"/>
            <w:vAlign w:val="center"/>
            <w:shd w:val="clear" w:color="auto" w:fill="FFFFFF"/>
          </w:tcPr>
          <w:p>
            <w:pPr>
              <w:jc w:val="center"/>
            </w:pPr>
            <w:r>
              <w:rPr>
                <w:sz w:val="20"/>
              </w:rPr>
              <w:t>84.42%</w:t>
            </w:r>
          </w:p>
        </w:tc>
      </w:tr>
    </w:tbl>
    <w:p/>
    <w:p>
      <w:pPr>
        <w:spacing w:after="120"/>
        <w:jc w:val="both"/>
      </w:pPr>
      <w:r>
        <w:rPr>
          <w:b w:val="0"/>
          <w:i w:val="0"/>
          <w:sz w:val="22"/>
        </w:rPr>
        <w:t>MNIST đạt độ chính xác rất cao (99.45%) do bài toán tương đối đơn giản. Trên CIFAR-10, SimpleCNN đạt 76.02% — phù hợp với benchmark không dùng kỹ thuật phức tạp. ResNet18 (82.00%) và MobileNetV2 (84.42%) vượt trội SimpleCNN nhờ kiến trúc sâu hơn và skip-connection / depthwise convolution, cung cấp nền tảng mạnh cho Thực nghiệm 5.</w:t>
      </w:r>
    </w:p>
    <w:p>
      <w:pPr>
        <w:spacing w:before="120" w:after="40"/>
        <w:jc w:val="center"/>
      </w:pPr>
      <w:r>
        <w:drawing>
          <wp:inline xmlns:a="http://schemas.openxmlformats.org/drawingml/2006/main" xmlns:pic="http://schemas.openxmlformats.org/drawingml/2006/picture">
            <wp:extent cx="5040000" cy="1675291"/>
            <wp:docPr id="1" name="Picture 1"/>
            <wp:cNvGraphicFramePr>
              <a:graphicFrameLocks noChangeAspect="1"/>
            </wp:cNvGraphicFramePr>
            <a:graphic>
              <a:graphicData uri="http://schemas.openxmlformats.org/drawingml/2006/picture">
                <pic:pic>
                  <pic:nvPicPr>
                    <pic:cNvPr id="0" name="training_history_mnist.png"/>
                    <pic:cNvPicPr/>
                  </pic:nvPicPr>
                  <pic:blipFill>
                    <a:blip r:embed="rId9"/>
                    <a:stretch>
                      <a:fillRect/>
                    </a:stretch>
                  </pic:blipFill>
                  <pic:spPr>
                    <a:xfrm>
                      <a:off x="0" y="0"/>
                      <a:ext cx="5040000" cy="1675291"/>
                    </a:xfrm>
                    <a:prstGeom prst="rect"/>
                  </pic:spPr>
                </pic:pic>
              </a:graphicData>
            </a:graphic>
          </wp:inline>
        </w:drawing>
      </w:r>
    </w:p>
    <w:p>
      <w:pPr>
        <w:spacing w:after="240"/>
        <w:jc w:val="center"/>
      </w:pPr>
      <w:r>
        <w:rPr>
          <w:i/>
          <w:color w:val="555555"/>
          <w:sz w:val="20"/>
        </w:rPr>
        <w:t>Hình 1. Lịch sử huấn luyện MNIST — SimpleCNN, loss và accuracy qua 20 epoch</w:t>
      </w:r>
    </w:p>
    <w:p>
      <w:pPr>
        <w:spacing w:before="120" w:after="40"/>
        <w:jc w:val="center"/>
      </w:pPr>
      <w:r>
        <w:drawing>
          <wp:inline xmlns:a="http://schemas.openxmlformats.org/drawingml/2006/main" xmlns:pic="http://schemas.openxmlformats.org/drawingml/2006/picture">
            <wp:extent cx="5040000" cy="1675291"/>
            <wp:docPr id="2" name="Picture 2"/>
            <wp:cNvGraphicFramePr>
              <a:graphicFrameLocks noChangeAspect="1"/>
            </wp:cNvGraphicFramePr>
            <a:graphic>
              <a:graphicData uri="http://schemas.openxmlformats.org/drawingml/2006/picture">
                <pic:pic>
                  <pic:nvPicPr>
                    <pic:cNvPr id="0" name="training_history_cifar10.png"/>
                    <pic:cNvPicPr/>
                  </pic:nvPicPr>
                  <pic:blipFill>
                    <a:blip r:embed="rId10"/>
                    <a:stretch>
                      <a:fillRect/>
                    </a:stretch>
                  </pic:blipFill>
                  <pic:spPr>
                    <a:xfrm>
                      <a:off x="0" y="0"/>
                      <a:ext cx="5040000" cy="1675291"/>
                    </a:xfrm>
                    <a:prstGeom prst="rect"/>
                  </pic:spPr>
                </pic:pic>
              </a:graphicData>
            </a:graphic>
          </wp:inline>
        </w:drawing>
      </w:r>
    </w:p>
    <w:p>
      <w:pPr>
        <w:spacing w:after="240"/>
        <w:jc w:val="center"/>
      </w:pPr>
      <w:r>
        <w:rPr>
          <w:i/>
          <w:color w:val="555555"/>
          <w:sz w:val="20"/>
        </w:rPr>
        <w:t>Hình 2. Lịch sử huấn luyện CIFAR-10 — SimpleCNN, loss và accuracy qua 20 epoch</w:t>
      </w:r>
    </w:p>
    <w:p>
      <w:pPr>
        <w:spacing w:before="120" w:after="40"/>
        <w:jc w:val="center"/>
      </w:pPr>
      <w:r>
        <w:drawing>
          <wp:inline xmlns:a="http://schemas.openxmlformats.org/drawingml/2006/main" xmlns:pic="http://schemas.openxmlformats.org/drawingml/2006/picture">
            <wp:extent cx="5040000" cy="1675291"/>
            <wp:docPr id="3" name="Picture 3"/>
            <wp:cNvGraphicFramePr>
              <a:graphicFrameLocks noChangeAspect="1"/>
            </wp:cNvGraphicFramePr>
            <a:graphic>
              <a:graphicData uri="http://schemas.openxmlformats.org/drawingml/2006/picture">
                <pic:pic>
                  <pic:nvPicPr>
                    <pic:cNvPr id="0" name="training_history_cifar10_resnet18.png"/>
                    <pic:cNvPicPr/>
                  </pic:nvPicPr>
                  <pic:blipFill>
                    <a:blip r:embed="rId11"/>
                    <a:stretch>
                      <a:fillRect/>
                    </a:stretch>
                  </pic:blipFill>
                  <pic:spPr>
                    <a:xfrm>
                      <a:off x="0" y="0"/>
                      <a:ext cx="5040000" cy="1675291"/>
                    </a:xfrm>
                    <a:prstGeom prst="rect"/>
                  </pic:spPr>
                </pic:pic>
              </a:graphicData>
            </a:graphic>
          </wp:inline>
        </w:drawing>
      </w:r>
    </w:p>
    <w:p>
      <w:pPr>
        <w:spacing w:after="240"/>
        <w:jc w:val="center"/>
      </w:pPr>
      <w:r>
        <w:rPr>
          <w:i/>
          <w:color w:val="555555"/>
          <w:sz w:val="20"/>
        </w:rPr>
        <w:t>Hình 3. Lịch sử huấn luyện CIFAR-10 — ResNet18, loss và accuracy qua 20 epoch</w:t>
      </w:r>
    </w:p>
    <w:p>
      <w:pPr>
        <w:spacing w:before="120" w:after="40"/>
        <w:jc w:val="center"/>
      </w:pPr>
      <w:r>
        <w:drawing>
          <wp:inline xmlns:a="http://schemas.openxmlformats.org/drawingml/2006/main" xmlns:pic="http://schemas.openxmlformats.org/drawingml/2006/picture">
            <wp:extent cx="5040000" cy="1675291"/>
            <wp:docPr id="4" name="Picture 4"/>
            <wp:cNvGraphicFramePr>
              <a:graphicFrameLocks noChangeAspect="1"/>
            </wp:cNvGraphicFramePr>
            <a:graphic>
              <a:graphicData uri="http://schemas.openxmlformats.org/drawingml/2006/picture">
                <pic:pic>
                  <pic:nvPicPr>
                    <pic:cNvPr id="0" name="training_history_cifar10_mobilenetv2.png"/>
                    <pic:cNvPicPr/>
                  </pic:nvPicPr>
                  <pic:blipFill>
                    <a:blip r:embed="rId12"/>
                    <a:stretch>
                      <a:fillRect/>
                    </a:stretch>
                  </pic:blipFill>
                  <pic:spPr>
                    <a:xfrm>
                      <a:off x="0" y="0"/>
                      <a:ext cx="5040000" cy="1675291"/>
                    </a:xfrm>
                    <a:prstGeom prst="rect"/>
                  </pic:spPr>
                </pic:pic>
              </a:graphicData>
            </a:graphic>
          </wp:inline>
        </w:drawing>
      </w:r>
    </w:p>
    <w:p>
      <w:pPr>
        <w:spacing w:after="240"/>
        <w:jc w:val="center"/>
      </w:pPr>
      <w:r>
        <w:rPr>
          <w:i/>
          <w:color w:val="555555"/>
          <w:sz w:val="20"/>
        </w:rPr>
        <w:t>Hình 4. Lịch sử huấn luyện CIFAR-10 — MobileNetV2, loss và accuracy qua 20 epoch</w:t>
      </w:r>
    </w:p>
    <w:p>
      <w:pPr>
        <w:pStyle w:val="Heading1"/>
        <w:jc w:val="left"/>
      </w:pPr>
      <w:r>
        <w:rPr>
          <w:color w:val="1F3864"/>
        </w:rPr>
        <w:t>5. Thực nghiệm 1 — Ảnh hưởng của ε đến hiệu quả tấn công</w:t>
      </w:r>
    </w:p>
    <w:p>
      <w:pPr>
        <w:spacing w:after="120"/>
        <w:jc w:val="both"/>
      </w:pPr>
      <w:r>
        <w:rPr>
          <w:b w:val="0"/>
          <w:i w:val="0"/>
          <w:sz w:val="22"/>
        </w:rPr>
        <w:t>Thực nghiệm 1 cố định số bước T=40 và thay đổi biên độ nhiễu ε qua các giá trị [0.05, 0.10, 0.15, 0.20, 0.25, 0.30]. Với mỗi ε, cả FGSM và I-FGSM được đánh giá trên 1,280 mẫu test, đo độ chính xác còn lại và Attack Success Rate.</w:t>
      </w:r>
    </w:p>
    <w:p>
      <w:pPr>
        <w:pStyle w:val="Heading2"/>
        <w:jc w:val="left"/>
      </w:pPr>
      <w:r>
        <w:rPr>
          <w:color w:val="1F3864"/>
        </w:rPr>
        <w:t>5.1. Kết quả trên MNIST</w:t>
      </w:r>
    </w:p>
    <w:p>
      <w:pPr>
        <w:spacing w:after="120"/>
        <w:jc w:val="both"/>
      </w:pPr>
      <w:r>
        <w:rPr>
          <w:b/>
          <w:i w:val="0"/>
          <w:color w:val="555555"/>
          <w:sz w:val="20"/>
        </w:rPr>
        <w:t>Tập test: 1,280 mẫu | Mẫu phân loại đúng: 1,273 | Clean accuracy: 99.45%</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850"/>
            <w:vAlign w:val="center"/>
            <w:shd w:val="clear" w:color="auto" w:fill="1F3864"/>
          </w:tcPr>
          <w:p>
            <w:pPr>
              <w:jc w:val="center"/>
            </w:pPr>
            <w:r>
              <w:rPr>
                <w:b/>
                <w:color w:val="FFFFFF"/>
                <w:sz w:val="20"/>
              </w:rPr>
              <w:t>ε</w:t>
            </w:r>
          </w:p>
        </w:tc>
        <w:tc>
          <w:tcPr>
            <w:tcW w:type="dxa" w:w="1361"/>
            <w:vAlign w:val="center"/>
            <w:shd w:val="clear" w:color="auto" w:fill="1F3864"/>
          </w:tcPr>
          <w:p>
            <w:pPr>
              <w:jc w:val="center"/>
            </w:pPr>
            <w:r>
              <w:rPr>
                <w:b/>
                <w:color w:val="FFFFFF"/>
                <w:sz w:val="20"/>
              </w:rPr>
              <w:t>FGSM Acc (%)</w:t>
            </w:r>
          </w:p>
        </w:tc>
        <w:tc>
          <w:tcPr>
            <w:tcW w:type="dxa" w:w="1361"/>
            <w:vAlign w:val="center"/>
            <w:shd w:val="clear" w:color="auto" w:fill="1F3864"/>
          </w:tcPr>
          <w:p>
            <w:pPr>
              <w:jc w:val="center"/>
            </w:pPr>
            <w:r>
              <w:rPr>
                <w:b/>
                <w:color w:val="FFFFFF"/>
                <w:sz w:val="20"/>
              </w:rPr>
              <w:t>FGSM ASR (%)</w:t>
            </w:r>
          </w:p>
        </w:tc>
        <w:tc>
          <w:tcPr>
            <w:tcW w:type="dxa" w:w="1247"/>
            <w:vAlign w:val="center"/>
            <w:shd w:val="clear" w:color="auto" w:fill="1F3864"/>
          </w:tcPr>
          <w:p>
            <w:pPr>
              <w:jc w:val="center"/>
            </w:pPr>
            <w:r>
              <w:rPr>
                <w:b/>
                <w:color w:val="FFFFFF"/>
                <w:sz w:val="20"/>
              </w:rPr>
              <w:t>FGSM Time (s)</w:t>
            </w:r>
          </w:p>
        </w:tc>
        <w:tc>
          <w:tcPr>
            <w:tcW w:type="dxa" w:w="1361"/>
            <w:vAlign w:val="center"/>
            <w:shd w:val="clear" w:color="auto" w:fill="1F3864"/>
          </w:tcPr>
          <w:p>
            <w:pPr>
              <w:jc w:val="center"/>
            </w:pPr>
            <w:r>
              <w:rPr>
                <w:b/>
                <w:color w:val="FFFFFF"/>
                <w:sz w:val="20"/>
              </w:rPr>
              <w:t>I-FGSM Acc (%)</w:t>
            </w:r>
          </w:p>
        </w:tc>
        <w:tc>
          <w:tcPr>
            <w:tcW w:type="dxa" w:w="1361"/>
            <w:vAlign w:val="center"/>
            <w:shd w:val="clear" w:color="auto" w:fill="1F3864"/>
          </w:tcPr>
          <w:p>
            <w:pPr>
              <w:jc w:val="center"/>
            </w:pPr>
            <w:r>
              <w:rPr>
                <w:b/>
                <w:color w:val="FFFFFF"/>
                <w:sz w:val="20"/>
              </w:rPr>
              <w:t>I-FGSM ASR (%)</w:t>
            </w:r>
          </w:p>
        </w:tc>
        <w:tc>
          <w:tcPr>
            <w:tcW w:type="dxa" w:w="1531"/>
            <w:vAlign w:val="center"/>
            <w:shd w:val="clear" w:color="auto" w:fill="1F3864"/>
          </w:tcPr>
          <w:p>
            <w:pPr>
              <w:jc w:val="center"/>
            </w:pPr>
            <w:r>
              <w:rPr>
                <w:b/>
                <w:color w:val="FFFFFF"/>
                <w:sz w:val="20"/>
              </w:rPr>
              <w:t>I-FGSM Time (s)</w:t>
            </w:r>
          </w:p>
        </w:tc>
      </w:tr>
      <w:tr>
        <w:tc>
          <w:tcPr>
            <w:tcW w:type="dxa" w:w="850"/>
            <w:vAlign w:val="center"/>
            <w:shd w:val="clear" w:color="auto" w:fill="F2F2F2"/>
          </w:tcPr>
          <w:p>
            <w:pPr>
              <w:jc w:val="center"/>
            </w:pPr>
            <w:r>
              <w:rPr>
                <w:sz w:val="20"/>
              </w:rPr>
              <w:t>0.05</w:t>
            </w:r>
          </w:p>
        </w:tc>
        <w:tc>
          <w:tcPr>
            <w:tcW w:type="dxa" w:w="1361"/>
            <w:vAlign w:val="center"/>
            <w:shd w:val="clear" w:color="auto" w:fill="F2F2F2"/>
          </w:tcPr>
          <w:p>
            <w:pPr>
              <w:jc w:val="center"/>
            </w:pPr>
            <w:r>
              <w:rPr>
                <w:sz w:val="20"/>
              </w:rPr>
              <w:t>94.53</w:t>
            </w:r>
          </w:p>
        </w:tc>
        <w:tc>
          <w:tcPr>
            <w:tcW w:type="dxa" w:w="1361"/>
            <w:vAlign w:val="center"/>
            <w:shd w:val="clear" w:color="auto" w:fill="F2F2F2"/>
          </w:tcPr>
          <w:p>
            <w:pPr>
              <w:jc w:val="center"/>
            </w:pPr>
            <w:r>
              <w:rPr>
                <w:sz w:val="20"/>
              </w:rPr>
              <w:t>4.95</w:t>
            </w:r>
          </w:p>
        </w:tc>
        <w:tc>
          <w:tcPr>
            <w:tcW w:type="dxa" w:w="1247"/>
            <w:vAlign w:val="center"/>
            <w:shd w:val="clear" w:color="auto" w:fill="F2F2F2"/>
          </w:tcPr>
          <w:p>
            <w:pPr>
              <w:jc w:val="center"/>
            </w:pPr>
            <w:r>
              <w:rPr>
                <w:sz w:val="20"/>
              </w:rPr>
              <w:t>3.2</w:t>
            </w:r>
          </w:p>
        </w:tc>
        <w:tc>
          <w:tcPr>
            <w:tcW w:type="dxa" w:w="1361"/>
            <w:vAlign w:val="center"/>
            <w:shd w:val="clear" w:color="auto" w:fill="F2F2F2"/>
          </w:tcPr>
          <w:p>
            <w:pPr>
              <w:jc w:val="center"/>
            </w:pPr>
            <w:r>
              <w:rPr>
                <w:sz w:val="20"/>
              </w:rPr>
              <w:t>85.23</w:t>
            </w:r>
          </w:p>
        </w:tc>
        <w:tc>
          <w:tcPr>
            <w:tcW w:type="dxa" w:w="1361"/>
            <w:vAlign w:val="center"/>
            <w:shd w:val="clear" w:color="auto" w:fill="F2F2F2"/>
          </w:tcPr>
          <w:p>
            <w:pPr>
              <w:jc w:val="center"/>
            </w:pPr>
            <w:r>
              <w:rPr>
                <w:sz w:val="20"/>
              </w:rPr>
              <w:t>14.30</w:t>
            </w:r>
          </w:p>
        </w:tc>
        <w:tc>
          <w:tcPr>
            <w:tcW w:type="dxa" w:w="1531"/>
            <w:vAlign w:val="center"/>
            <w:shd w:val="clear" w:color="auto" w:fill="F2F2F2"/>
          </w:tcPr>
          <w:p>
            <w:pPr>
              <w:jc w:val="center"/>
            </w:pPr>
            <w:r>
              <w:rPr>
                <w:sz w:val="20"/>
              </w:rPr>
              <w:t>119.5</w:t>
            </w:r>
          </w:p>
        </w:tc>
      </w:tr>
      <w:tr>
        <w:tc>
          <w:tcPr>
            <w:tcW w:type="dxa" w:w="850"/>
            <w:vAlign w:val="center"/>
            <w:shd w:val="clear" w:color="auto" w:fill="FFFFFF"/>
          </w:tcPr>
          <w:p>
            <w:pPr>
              <w:jc w:val="center"/>
            </w:pPr>
            <w:r>
              <w:rPr>
                <w:sz w:val="20"/>
              </w:rPr>
              <w:t>0.10</w:t>
            </w:r>
          </w:p>
        </w:tc>
        <w:tc>
          <w:tcPr>
            <w:tcW w:type="dxa" w:w="1361"/>
            <w:vAlign w:val="center"/>
            <w:shd w:val="clear" w:color="auto" w:fill="FFFFFF"/>
          </w:tcPr>
          <w:p>
            <w:pPr>
              <w:jc w:val="center"/>
            </w:pPr>
            <w:r>
              <w:rPr>
                <w:sz w:val="20"/>
              </w:rPr>
              <w:t>70.63</w:t>
            </w:r>
          </w:p>
        </w:tc>
        <w:tc>
          <w:tcPr>
            <w:tcW w:type="dxa" w:w="1361"/>
            <w:vAlign w:val="center"/>
            <w:shd w:val="clear" w:color="auto" w:fill="FFFFFF"/>
          </w:tcPr>
          <w:p>
            <w:pPr>
              <w:jc w:val="center"/>
            </w:pPr>
            <w:r>
              <w:rPr>
                <w:sz w:val="20"/>
              </w:rPr>
              <w:t>28.99</w:t>
            </w:r>
          </w:p>
        </w:tc>
        <w:tc>
          <w:tcPr>
            <w:tcW w:type="dxa" w:w="1247"/>
            <w:vAlign w:val="center"/>
            <w:shd w:val="clear" w:color="auto" w:fill="FFFFFF"/>
          </w:tcPr>
          <w:p>
            <w:pPr>
              <w:jc w:val="center"/>
            </w:pPr>
            <w:r>
              <w:rPr>
                <w:sz w:val="20"/>
              </w:rPr>
              <w:t>2.9</w:t>
            </w:r>
          </w:p>
        </w:tc>
        <w:tc>
          <w:tcPr>
            <w:tcW w:type="dxa" w:w="1361"/>
            <w:vAlign w:val="center"/>
            <w:shd w:val="clear" w:color="auto" w:fill="FFFFFF"/>
          </w:tcPr>
          <w:p>
            <w:pPr>
              <w:jc w:val="center"/>
            </w:pPr>
            <w:r>
              <w:rPr>
                <w:sz w:val="20"/>
              </w:rPr>
              <w:t>16.56</w:t>
            </w:r>
          </w:p>
        </w:tc>
        <w:tc>
          <w:tcPr>
            <w:tcW w:type="dxa" w:w="1361"/>
            <w:vAlign w:val="center"/>
            <w:shd w:val="clear" w:color="auto" w:fill="FFFFFF"/>
          </w:tcPr>
          <w:p>
            <w:pPr>
              <w:jc w:val="center"/>
            </w:pPr>
            <w:r>
              <w:rPr>
                <w:sz w:val="20"/>
              </w:rPr>
              <w:t>83.35</w:t>
            </w:r>
          </w:p>
        </w:tc>
        <w:tc>
          <w:tcPr>
            <w:tcW w:type="dxa" w:w="1531"/>
            <w:vAlign w:val="center"/>
            <w:shd w:val="clear" w:color="auto" w:fill="FFFFFF"/>
          </w:tcPr>
          <w:p>
            <w:pPr>
              <w:jc w:val="center"/>
            </w:pPr>
            <w:r>
              <w:rPr>
                <w:sz w:val="20"/>
              </w:rPr>
              <w:t>123.8</w:t>
            </w:r>
          </w:p>
        </w:tc>
      </w:tr>
      <w:tr>
        <w:tc>
          <w:tcPr>
            <w:tcW w:type="dxa" w:w="850"/>
            <w:vAlign w:val="center"/>
            <w:shd w:val="clear" w:color="auto" w:fill="F2F2F2"/>
          </w:tcPr>
          <w:p>
            <w:pPr>
              <w:jc w:val="center"/>
            </w:pPr>
            <w:r>
              <w:rPr>
                <w:sz w:val="20"/>
              </w:rPr>
              <w:t>0.15</w:t>
            </w:r>
          </w:p>
        </w:tc>
        <w:tc>
          <w:tcPr>
            <w:tcW w:type="dxa" w:w="1361"/>
            <w:vAlign w:val="center"/>
            <w:shd w:val="clear" w:color="auto" w:fill="F2F2F2"/>
          </w:tcPr>
          <w:p>
            <w:pPr>
              <w:jc w:val="center"/>
            </w:pPr>
            <w:r>
              <w:rPr>
                <w:sz w:val="20"/>
              </w:rPr>
              <w:t>42.73</w:t>
            </w:r>
          </w:p>
        </w:tc>
        <w:tc>
          <w:tcPr>
            <w:tcW w:type="dxa" w:w="1361"/>
            <w:vAlign w:val="center"/>
            <w:shd w:val="clear" w:color="auto" w:fill="F2F2F2"/>
          </w:tcPr>
          <w:p>
            <w:pPr>
              <w:jc w:val="center"/>
            </w:pPr>
            <w:r>
              <w:rPr>
                <w:sz w:val="20"/>
              </w:rPr>
              <w:t>57.03</w:t>
            </w:r>
          </w:p>
        </w:tc>
        <w:tc>
          <w:tcPr>
            <w:tcW w:type="dxa" w:w="1247"/>
            <w:vAlign w:val="center"/>
            <w:shd w:val="clear" w:color="auto" w:fill="F2F2F2"/>
          </w:tcPr>
          <w:p>
            <w:pPr>
              <w:jc w:val="center"/>
            </w:pPr>
            <w:r>
              <w:rPr>
                <w:sz w:val="20"/>
              </w:rPr>
              <w:t>3.1</w:t>
            </w:r>
          </w:p>
        </w:tc>
        <w:tc>
          <w:tcPr>
            <w:tcW w:type="dxa" w:w="1361"/>
            <w:vAlign w:val="center"/>
            <w:shd w:val="clear" w:color="auto" w:fill="F2F2F2"/>
          </w:tcPr>
          <w:p>
            <w:pPr>
              <w:jc w:val="center"/>
            </w:pPr>
            <w:r>
              <w:rPr>
                <w:sz w:val="20"/>
              </w:rPr>
              <w:t>0.70</w:t>
            </w:r>
          </w:p>
        </w:tc>
        <w:tc>
          <w:tcPr>
            <w:tcW w:type="dxa" w:w="1361"/>
            <w:vAlign w:val="center"/>
            <w:shd w:val="clear" w:color="auto" w:fill="F2F2F2"/>
          </w:tcPr>
          <w:p>
            <w:pPr>
              <w:jc w:val="center"/>
            </w:pPr>
            <w:r>
              <w:rPr>
                <w:sz w:val="20"/>
              </w:rPr>
              <w:t>99.29</w:t>
            </w:r>
          </w:p>
        </w:tc>
        <w:tc>
          <w:tcPr>
            <w:tcW w:type="dxa" w:w="1531"/>
            <w:vAlign w:val="center"/>
            <w:shd w:val="clear" w:color="auto" w:fill="F2F2F2"/>
          </w:tcPr>
          <w:p>
            <w:pPr>
              <w:jc w:val="center"/>
            </w:pPr>
            <w:r>
              <w:rPr>
                <w:sz w:val="20"/>
              </w:rPr>
              <w:t>126.5</w:t>
            </w:r>
          </w:p>
        </w:tc>
      </w:tr>
      <w:tr>
        <w:tc>
          <w:tcPr>
            <w:tcW w:type="dxa" w:w="850"/>
            <w:vAlign w:val="center"/>
            <w:shd w:val="clear" w:color="auto" w:fill="FFFFFF"/>
          </w:tcPr>
          <w:p>
            <w:pPr>
              <w:jc w:val="center"/>
            </w:pPr>
            <w:r>
              <w:rPr>
                <w:sz w:val="20"/>
              </w:rPr>
              <w:t>0.20</w:t>
            </w:r>
          </w:p>
        </w:tc>
        <w:tc>
          <w:tcPr>
            <w:tcW w:type="dxa" w:w="1361"/>
            <w:vAlign w:val="center"/>
            <w:shd w:val="clear" w:color="auto" w:fill="FFFFFF"/>
          </w:tcPr>
          <w:p>
            <w:pPr>
              <w:jc w:val="center"/>
            </w:pPr>
            <w:r>
              <w:rPr>
                <w:sz w:val="20"/>
              </w:rPr>
              <w:t>25.16</w:t>
            </w:r>
          </w:p>
        </w:tc>
        <w:tc>
          <w:tcPr>
            <w:tcW w:type="dxa" w:w="1361"/>
            <w:vAlign w:val="center"/>
            <w:shd w:val="clear" w:color="auto" w:fill="FFFFFF"/>
          </w:tcPr>
          <w:p>
            <w:pPr>
              <w:jc w:val="center"/>
            </w:pPr>
            <w:r>
              <w:rPr>
                <w:sz w:val="20"/>
              </w:rPr>
              <w:t>74.71</w:t>
            </w:r>
          </w:p>
        </w:tc>
        <w:tc>
          <w:tcPr>
            <w:tcW w:type="dxa" w:w="1247"/>
            <w:vAlign w:val="center"/>
            <w:shd w:val="clear" w:color="auto" w:fill="FFFFFF"/>
          </w:tcPr>
          <w:p>
            <w:pPr>
              <w:jc w:val="center"/>
            </w:pPr>
            <w:r>
              <w:rPr>
                <w:sz w:val="20"/>
              </w:rPr>
              <w:t>2.9</w:t>
            </w:r>
          </w:p>
        </w:tc>
        <w:tc>
          <w:tcPr>
            <w:tcW w:type="dxa" w:w="1361"/>
            <w:vAlign w:val="center"/>
            <w:shd w:val="clear" w:color="auto" w:fill="FFFFFF"/>
          </w:tcPr>
          <w:p>
            <w:pPr>
              <w:jc w:val="center"/>
            </w:pPr>
            <w:r>
              <w:rPr>
                <w:sz w:val="20"/>
              </w:rPr>
              <w:t>0.00</w:t>
            </w:r>
          </w:p>
        </w:tc>
        <w:tc>
          <w:tcPr>
            <w:tcW w:type="dxa" w:w="1361"/>
            <w:vAlign w:val="center"/>
            <w:shd w:val="clear" w:color="auto" w:fill="FFFFFF"/>
          </w:tcPr>
          <w:p>
            <w:pPr>
              <w:jc w:val="center"/>
            </w:pPr>
            <w:r>
              <w:rPr>
                <w:sz w:val="20"/>
              </w:rPr>
              <w:t>100.00</w:t>
            </w:r>
          </w:p>
        </w:tc>
        <w:tc>
          <w:tcPr>
            <w:tcW w:type="dxa" w:w="1531"/>
            <w:vAlign w:val="center"/>
            <w:shd w:val="clear" w:color="auto" w:fill="FFFFFF"/>
          </w:tcPr>
          <w:p>
            <w:pPr>
              <w:jc w:val="center"/>
            </w:pPr>
            <w:r>
              <w:rPr>
                <w:sz w:val="20"/>
              </w:rPr>
              <w:t>128.1</w:t>
            </w:r>
          </w:p>
        </w:tc>
      </w:tr>
      <w:tr>
        <w:tc>
          <w:tcPr>
            <w:tcW w:type="dxa" w:w="850"/>
            <w:vAlign w:val="center"/>
            <w:shd w:val="clear" w:color="auto" w:fill="F2F2F2"/>
          </w:tcPr>
          <w:p>
            <w:pPr>
              <w:jc w:val="center"/>
            </w:pPr>
            <w:r>
              <w:rPr>
                <w:sz w:val="20"/>
              </w:rPr>
              <w:t>0.25</w:t>
            </w:r>
          </w:p>
        </w:tc>
        <w:tc>
          <w:tcPr>
            <w:tcW w:type="dxa" w:w="1361"/>
            <w:vAlign w:val="center"/>
            <w:shd w:val="clear" w:color="auto" w:fill="F2F2F2"/>
          </w:tcPr>
          <w:p>
            <w:pPr>
              <w:jc w:val="center"/>
            </w:pPr>
            <w:r>
              <w:rPr>
                <w:sz w:val="20"/>
              </w:rPr>
              <w:t>15.94</w:t>
            </w:r>
          </w:p>
        </w:tc>
        <w:tc>
          <w:tcPr>
            <w:tcW w:type="dxa" w:w="1361"/>
            <w:vAlign w:val="center"/>
            <w:shd w:val="clear" w:color="auto" w:fill="F2F2F2"/>
          </w:tcPr>
          <w:p>
            <w:pPr>
              <w:jc w:val="center"/>
            </w:pPr>
            <w:r>
              <w:rPr>
                <w:sz w:val="20"/>
              </w:rPr>
              <w:t>83.97</w:t>
            </w:r>
          </w:p>
        </w:tc>
        <w:tc>
          <w:tcPr>
            <w:tcW w:type="dxa" w:w="1247"/>
            <w:vAlign w:val="center"/>
            <w:shd w:val="clear" w:color="auto" w:fill="F2F2F2"/>
          </w:tcPr>
          <w:p>
            <w:pPr>
              <w:jc w:val="center"/>
            </w:pPr>
            <w:r>
              <w:rPr>
                <w:sz w:val="20"/>
              </w:rPr>
              <w:t>2.9</w:t>
            </w:r>
          </w:p>
        </w:tc>
        <w:tc>
          <w:tcPr>
            <w:tcW w:type="dxa" w:w="1361"/>
            <w:vAlign w:val="center"/>
            <w:shd w:val="clear" w:color="auto" w:fill="F2F2F2"/>
          </w:tcPr>
          <w:p>
            <w:pPr>
              <w:jc w:val="center"/>
            </w:pPr>
            <w:r>
              <w:rPr>
                <w:sz w:val="20"/>
              </w:rPr>
              <w:t>0.00</w:t>
            </w:r>
          </w:p>
        </w:tc>
        <w:tc>
          <w:tcPr>
            <w:tcW w:type="dxa" w:w="1361"/>
            <w:vAlign w:val="center"/>
            <w:shd w:val="clear" w:color="auto" w:fill="F2F2F2"/>
          </w:tcPr>
          <w:p>
            <w:pPr>
              <w:jc w:val="center"/>
            </w:pPr>
            <w:r>
              <w:rPr>
                <w:sz w:val="20"/>
              </w:rPr>
              <w:t>100.00</w:t>
            </w:r>
          </w:p>
        </w:tc>
        <w:tc>
          <w:tcPr>
            <w:tcW w:type="dxa" w:w="1531"/>
            <w:vAlign w:val="center"/>
            <w:shd w:val="clear" w:color="auto" w:fill="F2F2F2"/>
          </w:tcPr>
          <w:p>
            <w:pPr>
              <w:jc w:val="center"/>
            </w:pPr>
            <w:r>
              <w:rPr>
                <w:sz w:val="20"/>
              </w:rPr>
              <w:t>133.0</w:t>
            </w:r>
          </w:p>
        </w:tc>
      </w:tr>
      <w:tr>
        <w:tc>
          <w:tcPr>
            <w:tcW w:type="dxa" w:w="850"/>
            <w:vAlign w:val="center"/>
            <w:shd w:val="clear" w:color="auto" w:fill="FFFFFF"/>
          </w:tcPr>
          <w:p>
            <w:pPr>
              <w:jc w:val="center"/>
            </w:pPr>
            <w:r>
              <w:rPr>
                <w:sz w:val="20"/>
              </w:rPr>
              <w:t>0.30</w:t>
            </w:r>
          </w:p>
        </w:tc>
        <w:tc>
          <w:tcPr>
            <w:tcW w:type="dxa" w:w="1361"/>
            <w:vAlign w:val="center"/>
            <w:shd w:val="clear" w:color="auto" w:fill="FFFFFF"/>
          </w:tcPr>
          <w:p>
            <w:pPr>
              <w:jc w:val="center"/>
            </w:pPr>
            <w:r>
              <w:rPr>
                <w:sz w:val="20"/>
              </w:rPr>
              <w:t>11.17</w:t>
            </w:r>
          </w:p>
        </w:tc>
        <w:tc>
          <w:tcPr>
            <w:tcW w:type="dxa" w:w="1361"/>
            <w:vAlign w:val="center"/>
            <w:shd w:val="clear" w:color="auto" w:fill="FFFFFF"/>
          </w:tcPr>
          <w:p>
            <w:pPr>
              <w:jc w:val="center"/>
            </w:pPr>
            <w:r>
              <w:rPr>
                <w:sz w:val="20"/>
              </w:rPr>
              <w:t>88.77</w:t>
            </w:r>
          </w:p>
        </w:tc>
        <w:tc>
          <w:tcPr>
            <w:tcW w:type="dxa" w:w="1247"/>
            <w:vAlign w:val="center"/>
            <w:shd w:val="clear" w:color="auto" w:fill="FFFFFF"/>
          </w:tcPr>
          <w:p>
            <w:pPr>
              <w:jc w:val="center"/>
            </w:pPr>
            <w:r>
              <w:rPr>
                <w:sz w:val="20"/>
              </w:rPr>
              <w:t>2.9</w:t>
            </w:r>
          </w:p>
        </w:tc>
        <w:tc>
          <w:tcPr>
            <w:tcW w:type="dxa" w:w="1361"/>
            <w:vAlign w:val="center"/>
            <w:shd w:val="clear" w:color="auto" w:fill="FFFFFF"/>
          </w:tcPr>
          <w:p>
            <w:pPr>
              <w:jc w:val="center"/>
            </w:pPr>
            <w:r>
              <w:rPr>
                <w:sz w:val="20"/>
              </w:rPr>
              <w:t>0.00</w:t>
            </w:r>
          </w:p>
        </w:tc>
        <w:tc>
          <w:tcPr>
            <w:tcW w:type="dxa" w:w="1361"/>
            <w:vAlign w:val="center"/>
            <w:shd w:val="clear" w:color="auto" w:fill="FFFFFF"/>
          </w:tcPr>
          <w:p>
            <w:pPr>
              <w:jc w:val="center"/>
            </w:pPr>
            <w:r>
              <w:rPr>
                <w:sz w:val="20"/>
              </w:rPr>
              <w:t>100.00</w:t>
            </w:r>
          </w:p>
        </w:tc>
        <w:tc>
          <w:tcPr>
            <w:tcW w:type="dxa" w:w="1531"/>
            <w:vAlign w:val="center"/>
            <w:shd w:val="clear" w:color="auto" w:fill="FFFFFF"/>
          </w:tcPr>
          <w:p>
            <w:pPr>
              <w:jc w:val="center"/>
            </w:pPr>
            <w:r>
              <w:rPr>
                <w:sz w:val="20"/>
              </w:rPr>
              <w:t>134.9</w:t>
            </w:r>
          </w:p>
        </w:tc>
      </w:tr>
    </w:tbl>
    <w:p/>
    <w:p>
      <w:pPr>
        <w:spacing w:after="120"/>
        <w:jc w:val="both"/>
      </w:pPr>
      <w:r>
        <w:rPr>
          <w:b w:val="0"/>
          <w:i w:val="0"/>
          <w:sz w:val="22"/>
        </w:rPr>
        <w:t>Nhận xét:</w:t>
      </w:r>
    </w:p>
    <w:p>
      <w:pPr>
        <w:pStyle w:val="ListBullet"/>
        <w:spacing w:after="60"/>
      </w:pPr>
      <w:r>
        <w:rPr>
          <w:sz w:val="22"/>
        </w:rPr>
        <w:t>Tại ε=0.10: I-FGSM đạt 83.35% ASR so với 28.99% của FGSM — hiệu quả gần gấp 3× với cùng ngân sách nhiễu.</w:t>
      </w:r>
    </w:p>
    <w:p>
      <w:pPr>
        <w:pStyle w:val="ListBullet"/>
        <w:spacing w:after="60"/>
      </w:pPr>
      <w:r>
        <w:rPr>
          <w:sz w:val="22"/>
        </w:rPr>
        <w:t>Tại ε=0.20: I-FGSM đạt 100% ASR — mọi mẫu phân loại đúng đều bị đánh lừa thành công.</w:t>
      </w:r>
    </w:p>
    <w:p>
      <w:pPr>
        <w:pStyle w:val="ListBullet"/>
        <w:spacing w:after="60"/>
      </w:pPr>
      <w:r>
        <w:rPr>
          <w:sz w:val="22"/>
        </w:rPr>
        <w:t>FGSM chỉ đạt tối đa ~88.77% ASR dù ε=0.30 — đây là trần năng lực của tấn công 1 bước.</w:t>
      </w:r>
    </w:p>
    <w:p>
      <w:pPr>
        <w:pStyle w:val="ListBullet"/>
        <w:spacing w:after="60"/>
      </w:pPr>
      <w:r>
        <w:rPr>
          <w:sz w:val="22"/>
        </w:rPr>
        <w:t>Thời gian I-FGSM (~120–135s) gấp ~43× FGSM (~3s) do phải thực hiện 40 lần backward pass.</w:t>
      </w:r>
    </w:p>
    <w:p>
      <w:pPr>
        <w:spacing w:before="120" w:after="40"/>
        <w:jc w:val="center"/>
      </w:pPr>
      <w:r>
        <w:drawing>
          <wp:inline xmlns:a="http://schemas.openxmlformats.org/drawingml/2006/main" xmlns:pic="http://schemas.openxmlformats.org/drawingml/2006/picture">
            <wp:extent cx="5040000" cy="3112690"/>
            <wp:docPr id="5" name="Picture 5"/>
            <wp:cNvGraphicFramePr>
              <a:graphicFrameLocks noChangeAspect="1"/>
            </wp:cNvGraphicFramePr>
            <a:graphic>
              <a:graphicData uri="http://schemas.openxmlformats.org/drawingml/2006/picture">
                <pic:pic>
                  <pic:nvPicPr>
                    <pic:cNvPr id="0" name="exp1_acc_vs_epsilon_mnist.png"/>
                    <pic:cNvPicPr/>
                  </pic:nvPicPr>
                  <pic:blipFill>
                    <a:blip r:embed="rId13"/>
                    <a:stretch>
                      <a:fillRect/>
                    </a:stretch>
                  </pic:blipFill>
                  <pic:spPr>
                    <a:xfrm>
                      <a:off x="0" y="0"/>
                      <a:ext cx="5040000" cy="3112690"/>
                    </a:xfrm>
                    <a:prstGeom prst="rect"/>
                  </pic:spPr>
                </pic:pic>
              </a:graphicData>
            </a:graphic>
          </wp:inline>
        </w:drawing>
      </w:r>
    </w:p>
    <w:p>
      <w:pPr>
        <w:spacing w:after="240"/>
        <w:jc w:val="center"/>
      </w:pPr>
      <w:r>
        <w:rPr>
          <w:i/>
          <w:color w:val="555555"/>
          <w:sz w:val="20"/>
        </w:rPr>
        <w:t>Hình 5. MNIST — Accuracy còn lại theo ε (FGSM vs I-FGSM, T=40)</w:t>
      </w:r>
    </w:p>
    <w:p>
      <w:pPr>
        <w:pStyle w:val="Heading2"/>
        <w:jc w:val="left"/>
      </w:pPr>
      <w:r>
        <w:rPr>
          <w:color w:val="1F3864"/>
        </w:rPr>
        <w:t>5.2. Kết quả trên CIFAR-10</w:t>
      </w:r>
    </w:p>
    <w:p>
      <w:pPr>
        <w:spacing w:after="120"/>
        <w:jc w:val="both"/>
      </w:pPr>
      <w:r>
        <w:rPr>
          <w:b/>
          <w:i w:val="0"/>
          <w:color w:val="555555"/>
          <w:sz w:val="20"/>
        </w:rPr>
        <w:t>Tập test: 1,280 mẫu | Mẫu phân loại đúng: 973 | Clean accuracy: 76.02%</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850"/>
            <w:vAlign w:val="center"/>
            <w:shd w:val="clear" w:color="auto" w:fill="1F3864"/>
          </w:tcPr>
          <w:p>
            <w:pPr>
              <w:jc w:val="center"/>
            </w:pPr>
            <w:r>
              <w:rPr>
                <w:b/>
                <w:color w:val="FFFFFF"/>
                <w:sz w:val="20"/>
              </w:rPr>
              <w:t>ε</w:t>
            </w:r>
          </w:p>
        </w:tc>
        <w:tc>
          <w:tcPr>
            <w:tcW w:type="dxa" w:w="1361"/>
            <w:vAlign w:val="center"/>
            <w:shd w:val="clear" w:color="auto" w:fill="1F3864"/>
          </w:tcPr>
          <w:p>
            <w:pPr>
              <w:jc w:val="center"/>
            </w:pPr>
            <w:r>
              <w:rPr>
                <w:b/>
                <w:color w:val="FFFFFF"/>
                <w:sz w:val="20"/>
              </w:rPr>
              <w:t>FGSM Acc (%)</w:t>
            </w:r>
          </w:p>
        </w:tc>
        <w:tc>
          <w:tcPr>
            <w:tcW w:type="dxa" w:w="1361"/>
            <w:vAlign w:val="center"/>
            <w:shd w:val="clear" w:color="auto" w:fill="1F3864"/>
          </w:tcPr>
          <w:p>
            <w:pPr>
              <w:jc w:val="center"/>
            </w:pPr>
            <w:r>
              <w:rPr>
                <w:b/>
                <w:color w:val="FFFFFF"/>
                <w:sz w:val="20"/>
              </w:rPr>
              <w:t>FGSM ASR (%)</w:t>
            </w:r>
          </w:p>
        </w:tc>
        <w:tc>
          <w:tcPr>
            <w:tcW w:type="dxa" w:w="1247"/>
            <w:vAlign w:val="center"/>
            <w:shd w:val="clear" w:color="auto" w:fill="1F3864"/>
          </w:tcPr>
          <w:p>
            <w:pPr>
              <w:jc w:val="center"/>
            </w:pPr>
            <w:r>
              <w:rPr>
                <w:b/>
                <w:color w:val="FFFFFF"/>
                <w:sz w:val="20"/>
              </w:rPr>
              <w:t>FGSM Time (s)</w:t>
            </w:r>
          </w:p>
        </w:tc>
        <w:tc>
          <w:tcPr>
            <w:tcW w:type="dxa" w:w="1361"/>
            <w:vAlign w:val="center"/>
            <w:shd w:val="clear" w:color="auto" w:fill="1F3864"/>
          </w:tcPr>
          <w:p>
            <w:pPr>
              <w:jc w:val="center"/>
            </w:pPr>
            <w:r>
              <w:rPr>
                <w:b/>
                <w:color w:val="FFFFFF"/>
                <w:sz w:val="20"/>
              </w:rPr>
              <w:t>I-FGSM Acc (%)</w:t>
            </w:r>
          </w:p>
        </w:tc>
        <w:tc>
          <w:tcPr>
            <w:tcW w:type="dxa" w:w="1361"/>
            <w:vAlign w:val="center"/>
            <w:shd w:val="clear" w:color="auto" w:fill="1F3864"/>
          </w:tcPr>
          <w:p>
            <w:pPr>
              <w:jc w:val="center"/>
            </w:pPr>
            <w:r>
              <w:rPr>
                <w:b/>
                <w:color w:val="FFFFFF"/>
                <w:sz w:val="20"/>
              </w:rPr>
              <w:t>I-FGSM ASR (%)</w:t>
            </w:r>
          </w:p>
        </w:tc>
        <w:tc>
          <w:tcPr>
            <w:tcW w:type="dxa" w:w="1531"/>
            <w:vAlign w:val="center"/>
            <w:shd w:val="clear" w:color="auto" w:fill="1F3864"/>
          </w:tcPr>
          <w:p>
            <w:pPr>
              <w:jc w:val="center"/>
            </w:pPr>
            <w:r>
              <w:rPr>
                <w:b/>
                <w:color w:val="FFFFFF"/>
                <w:sz w:val="20"/>
              </w:rPr>
              <w:t>I-FGSM Time (s)</w:t>
            </w:r>
          </w:p>
        </w:tc>
      </w:tr>
      <w:tr>
        <w:tc>
          <w:tcPr>
            <w:tcW w:type="dxa" w:w="850"/>
            <w:vAlign w:val="center"/>
            <w:shd w:val="clear" w:color="auto" w:fill="F2F2F2"/>
          </w:tcPr>
          <w:p>
            <w:pPr>
              <w:jc w:val="center"/>
            </w:pPr>
            <w:r>
              <w:rPr>
                <w:sz w:val="20"/>
              </w:rPr>
              <w:t>0.05</w:t>
            </w:r>
          </w:p>
        </w:tc>
        <w:tc>
          <w:tcPr>
            <w:tcW w:type="dxa" w:w="1361"/>
            <w:vAlign w:val="center"/>
            <w:shd w:val="clear" w:color="auto" w:fill="F2F2F2"/>
          </w:tcPr>
          <w:p>
            <w:pPr>
              <w:jc w:val="center"/>
            </w:pPr>
            <w:r>
              <w:rPr>
                <w:sz w:val="20"/>
              </w:rPr>
              <w:t>21.02</w:t>
            </w:r>
          </w:p>
        </w:tc>
        <w:tc>
          <w:tcPr>
            <w:tcW w:type="dxa" w:w="1361"/>
            <w:vAlign w:val="center"/>
            <w:shd w:val="clear" w:color="auto" w:fill="F2F2F2"/>
          </w:tcPr>
          <w:p>
            <w:pPr>
              <w:jc w:val="center"/>
            </w:pPr>
            <w:r>
              <w:rPr>
                <w:sz w:val="20"/>
              </w:rPr>
              <w:t>72.35</w:t>
            </w:r>
          </w:p>
        </w:tc>
        <w:tc>
          <w:tcPr>
            <w:tcW w:type="dxa" w:w="1247"/>
            <w:vAlign w:val="center"/>
            <w:shd w:val="clear" w:color="auto" w:fill="F2F2F2"/>
          </w:tcPr>
          <w:p>
            <w:pPr>
              <w:jc w:val="center"/>
            </w:pPr>
            <w:r>
              <w:rPr>
                <w:sz w:val="20"/>
              </w:rPr>
              <w:t>2.5</w:t>
            </w:r>
          </w:p>
        </w:tc>
        <w:tc>
          <w:tcPr>
            <w:tcW w:type="dxa" w:w="1361"/>
            <w:vAlign w:val="center"/>
            <w:shd w:val="clear" w:color="auto" w:fill="F2F2F2"/>
          </w:tcPr>
          <w:p>
            <w:pPr>
              <w:jc w:val="center"/>
            </w:pPr>
            <w:r>
              <w:rPr>
                <w:sz w:val="20"/>
              </w:rPr>
              <w:t>7.27</w:t>
            </w:r>
          </w:p>
        </w:tc>
        <w:tc>
          <w:tcPr>
            <w:tcW w:type="dxa" w:w="1361"/>
            <w:vAlign w:val="center"/>
            <w:shd w:val="clear" w:color="auto" w:fill="F2F2F2"/>
          </w:tcPr>
          <w:p>
            <w:pPr>
              <w:jc w:val="center"/>
            </w:pPr>
            <w:r>
              <w:rPr>
                <w:sz w:val="20"/>
              </w:rPr>
              <w:t>90.44</w:t>
            </w:r>
          </w:p>
        </w:tc>
        <w:tc>
          <w:tcPr>
            <w:tcW w:type="dxa" w:w="1531"/>
            <w:vAlign w:val="center"/>
            <w:shd w:val="clear" w:color="auto" w:fill="F2F2F2"/>
          </w:tcPr>
          <w:p>
            <w:pPr>
              <w:jc w:val="center"/>
            </w:pPr>
            <w:r>
              <w:rPr>
                <w:sz w:val="20"/>
              </w:rPr>
              <w:t>85.5</w:t>
            </w:r>
          </w:p>
        </w:tc>
      </w:tr>
      <w:tr>
        <w:tc>
          <w:tcPr>
            <w:tcW w:type="dxa" w:w="850"/>
            <w:vAlign w:val="center"/>
            <w:shd w:val="clear" w:color="auto" w:fill="FFFFFF"/>
          </w:tcPr>
          <w:p>
            <w:pPr>
              <w:jc w:val="center"/>
            </w:pPr>
            <w:r>
              <w:rPr>
                <w:sz w:val="20"/>
              </w:rPr>
              <w:t>0.10</w:t>
            </w:r>
          </w:p>
        </w:tc>
        <w:tc>
          <w:tcPr>
            <w:tcW w:type="dxa" w:w="1361"/>
            <w:vAlign w:val="center"/>
            <w:shd w:val="clear" w:color="auto" w:fill="FFFFFF"/>
          </w:tcPr>
          <w:p>
            <w:pPr>
              <w:jc w:val="center"/>
            </w:pPr>
            <w:r>
              <w:rPr>
                <w:sz w:val="20"/>
              </w:rPr>
              <w:t>15.08</w:t>
            </w:r>
          </w:p>
        </w:tc>
        <w:tc>
          <w:tcPr>
            <w:tcW w:type="dxa" w:w="1361"/>
            <w:vAlign w:val="center"/>
            <w:shd w:val="clear" w:color="auto" w:fill="FFFFFF"/>
          </w:tcPr>
          <w:p>
            <w:pPr>
              <w:jc w:val="center"/>
            </w:pPr>
            <w:r>
              <w:rPr>
                <w:sz w:val="20"/>
              </w:rPr>
              <w:t>80.16</w:t>
            </w:r>
          </w:p>
        </w:tc>
        <w:tc>
          <w:tcPr>
            <w:tcW w:type="dxa" w:w="1247"/>
            <w:vAlign w:val="center"/>
            <w:shd w:val="clear" w:color="auto" w:fill="FFFFFF"/>
          </w:tcPr>
          <w:p>
            <w:pPr>
              <w:jc w:val="center"/>
            </w:pPr>
            <w:r>
              <w:rPr>
                <w:sz w:val="20"/>
              </w:rPr>
              <w:t>2.3</w:t>
            </w:r>
          </w:p>
        </w:tc>
        <w:tc>
          <w:tcPr>
            <w:tcW w:type="dxa" w:w="1361"/>
            <w:vAlign w:val="center"/>
            <w:shd w:val="clear" w:color="auto" w:fill="FFFFFF"/>
          </w:tcPr>
          <w:p>
            <w:pPr>
              <w:jc w:val="center"/>
            </w:pPr>
            <w:r>
              <w:rPr>
                <w:sz w:val="20"/>
              </w:rPr>
              <w:t>1.64</w:t>
            </w:r>
          </w:p>
        </w:tc>
        <w:tc>
          <w:tcPr>
            <w:tcW w:type="dxa" w:w="1361"/>
            <w:vAlign w:val="center"/>
            <w:shd w:val="clear" w:color="auto" w:fill="FFFFFF"/>
          </w:tcPr>
          <w:p>
            <w:pPr>
              <w:jc w:val="center"/>
            </w:pPr>
            <w:r>
              <w:rPr>
                <w:sz w:val="20"/>
              </w:rPr>
              <w:t>97.84</w:t>
            </w:r>
          </w:p>
        </w:tc>
        <w:tc>
          <w:tcPr>
            <w:tcW w:type="dxa" w:w="1531"/>
            <w:vAlign w:val="center"/>
            <w:shd w:val="clear" w:color="auto" w:fill="FFFFFF"/>
          </w:tcPr>
          <w:p>
            <w:pPr>
              <w:jc w:val="center"/>
            </w:pPr>
            <w:r>
              <w:rPr>
                <w:sz w:val="20"/>
              </w:rPr>
              <w:t>85.8</w:t>
            </w:r>
          </w:p>
        </w:tc>
      </w:tr>
      <w:tr>
        <w:tc>
          <w:tcPr>
            <w:tcW w:type="dxa" w:w="850"/>
            <w:vAlign w:val="center"/>
            <w:shd w:val="clear" w:color="auto" w:fill="F2F2F2"/>
          </w:tcPr>
          <w:p>
            <w:pPr>
              <w:jc w:val="center"/>
            </w:pPr>
            <w:r>
              <w:rPr>
                <w:sz w:val="20"/>
              </w:rPr>
              <w:t>0.15</w:t>
            </w:r>
          </w:p>
        </w:tc>
        <w:tc>
          <w:tcPr>
            <w:tcW w:type="dxa" w:w="1361"/>
            <w:vAlign w:val="center"/>
            <w:shd w:val="clear" w:color="auto" w:fill="F2F2F2"/>
          </w:tcPr>
          <w:p>
            <w:pPr>
              <w:jc w:val="center"/>
            </w:pPr>
            <w:r>
              <w:rPr>
                <w:sz w:val="20"/>
              </w:rPr>
              <w:t>12.66</w:t>
            </w:r>
          </w:p>
        </w:tc>
        <w:tc>
          <w:tcPr>
            <w:tcW w:type="dxa" w:w="1361"/>
            <w:vAlign w:val="center"/>
            <w:shd w:val="clear" w:color="auto" w:fill="F2F2F2"/>
          </w:tcPr>
          <w:p>
            <w:pPr>
              <w:jc w:val="center"/>
            </w:pPr>
            <w:r>
              <w:rPr>
                <w:sz w:val="20"/>
              </w:rPr>
              <w:t>83.35</w:t>
            </w:r>
          </w:p>
        </w:tc>
        <w:tc>
          <w:tcPr>
            <w:tcW w:type="dxa" w:w="1247"/>
            <w:vAlign w:val="center"/>
            <w:shd w:val="clear" w:color="auto" w:fill="F2F2F2"/>
          </w:tcPr>
          <w:p>
            <w:pPr>
              <w:jc w:val="center"/>
            </w:pPr>
            <w:r>
              <w:rPr>
                <w:sz w:val="20"/>
              </w:rPr>
              <w:t>2.3</w:t>
            </w:r>
          </w:p>
        </w:tc>
        <w:tc>
          <w:tcPr>
            <w:tcW w:type="dxa" w:w="1361"/>
            <w:vAlign w:val="center"/>
            <w:shd w:val="clear" w:color="auto" w:fill="F2F2F2"/>
          </w:tcPr>
          <w:p>
            <w:pPr>
              <w:jc w:val="center"/>
            </w:pPr>
            <w:r>
              <w:rPr>
                <w:sz w:val="20"/>
              </w:rPr>
              <w:t>1.17</w:t>
            </w:r>
          </w:p>
        </w:tc>
        <w:tc>
          <w:tcPr>
            <w:tcW w:type="dxa" w:w="1361"/>
            <w:vAlign w:val="center"/>
            <w:shd w:val="clear" w:color="auto" w:fill="F2F2F2"/>
          </w:tcPr>
          <w:p>
            <w:pPr>
              <w:jc w:val="center"/>
            </w:pPr>
            <w:r>
              <w:rPr>
                <w:sz w:val="20"/>
              </w:rPr>
              <w:t>98.46</w:t>
            </w:r>
          </w:p>
        </w:tc>
        <w:tc>
          <w:tcPr>
            <w:tcW w:type="dxa" w:w="1531"/>
            <w:vAlign w:val="center"/>
            <w:shd w:val="clear" w:color="auto" w:fill="F2F2F2"/>
          </w:tcPr>
          <w:p>
            <w:pPr>
              <w:jc w:val="center"/>
            </w:pPr>
            <w:r>
              <w:rPr>
                <w:sz w:val="20"/>
              </w:rPr>
              <w:t>88.7</w:t>
            </w:r>
          </w:p>
        </w:tc>
      </w:tr>
      <w:tr>
        <w:tc>
          <w:tcPr>
            <w:tcW w:type="dxa" w:w="850"/>
            <w:vAlign w:val="center"/>
            <w:shd w:val="clear" w:color="auto" w:fill="FFFFFF"/>
          </w:tcPr>
          <w:p>
            <w:pPr>
              <w:jc w:val="center"/>
            </w:pPr>
            <w:r>
              <w:rPr>
                <w:sz w:val="20"/>
              </w:rPr>
              <w:t>0.20</w:t>
            </w:r>
          </w:p>
        </w:tc>
        <w:tc>
          <w:tcPr>
            <w:tcW w:type="dxa" w:w="1361"/>
            <w:vAlign w:val="center"/>
            <w:shd w:val="clear" w:color="auto" w:fill="FFFFFF"/>
          </w:tcPr>
          <w:p>
            <w:pPr>
              <w:jc w:val="center"/>
            </w:pPr>
            <w:r>
              <w:rPr>
                <w:sz w:val="20"/>
              </w:rPr>
              <w:t>12.03</w:t>
            </w:r>
          </w:p>
        </w:tc>
        <w:tc>
          <w:tcPr>
            <w:tcW w:type="dxa" w:w="1361"/>
            <w:vAlign w:val="center"/>
            <w:shd w:val="clear" w:color="auto" w:fill="FFFFFF"/>
          </w:tcPr>
          <w:p>
            <w:pPr>
              <w:jc w:val="center"/>
            </w:pPr>
            <w:r>
              <w:rPr>
                <w:sz w:val="20"/>
              </w:rPr>
              <w:t>84.17</w:t>
            </w:r>
          </w:p>
        </w:tc>
        <w:tc>
          <w:tcPr>
            <w:tcW w:type="dxa" w:w="1247"/>
            <w:vAlign w:val="center"/>
            <w:shd w:val="clear" w:color="auto" w:fill="FFFFFF"/>
          </w:tcPr>
          <w:p>
            <w:pPr>
              <w:jc w:val="center"/>
            </w:pPr>
            <w:r>
              <w:rPr>
                <w:sz w:val="20"/>
              </w:rPr>
              <w:t>2.4</w:t>
            </w:r>
          </w:p>
        </w:tc>
        <w:tc>
          <w:tcPr>
            <w:tcW w:type="dxa" w:w="1361"/>
            <w:vAlign w:val="center"/>
            <w:shd w:val="clear" w:color="auto" w:fill="FFFFFF"/>
          </w:tcPr>
          <w:p>
            <w:pPr>
              <w:jc w:val="center"/>
            </w:pPr>
            <w:r>
              <w:rPr>
                <w:sz w:val="20"/>
              </w:rPr>
              <w:t>0.86</w:t>
            </w:r>
          </w:p>
        </w:tc>
        <w:tc>
          <w:tcPr>
            <w:tcW w:type="dxa" w:w="1361"/>
            <w:vAlign w:val="center"/>
            <w:shd w:val="clear" w:color="auto" w:fill="FFFFFF"/>
          </w:tcPr>
          <w:p>
            <w:pPr>
              <w:jc w:val="center"/>
            </w:pPr>
            <w:r>
              <w:rPr>
                <w:sz w:val="20"/>
              </w:rPr>
              <w:t>98.87</w:t>
            </w:r>
          </w:p>
        </w:tc>
        <w:tc>
          <w:tcPr>
            <w:tcW w:type="dxa" w:w="1531"/>
            <w:vAlign w:val="center"/>
            <w:shd w:val="clear" w:color="auto" w:fill="FFFFFF"/>
          </w:tcPr>
          <w:p>
            <w:pPr>
              <w:jc w:val="center"/>
            </w:pPr>
            <w:r>
              <w:rPr>
                <w:sz w:val="20"/>
              </w:rPr>
              <w:t>87.9</w:t>
            </w:r>
          </w:p>
        </w:tc>
      </w:tr>
      <w:tr>
        <w:tc>
          <w:tcPr>
            <w:tcW w:type="dxa" w:w="850"/>
            <w:vAlign w:val="center"/>
            <w:shd w:val="clear" w:color="auto" w:fill="F2F2F2"/>
          </w:tcPr>
          <w:p>
            <w:pPr>
              <w:jc w:val="center"/>
            </w:pPr>
            <w:r>
              <w:rPr>
                <w:sz w:val="20"/>
              </w:rPr>
              <w:t>0.25</w:t>
            </w:r>
          </w:p>
        </w:tc>
        <w:tc>
          <w:tcPr>
            <w:tcW w:type="dxa" w:w="1361"/>
            <w:vAlign w:val="center"/>
            <w:shd w:val="clear" w:color="auto" w:fill="F2F2F2"/>
          </w:tcPr>
          <w:p>
            <w:pPr>
              <w:jc w:val="center"/>
            </w:pPr>
            <w:r>
              <w:rPr>
                <w:sz w:val="20"/>
              </w:rPr>
              <w:t>11.64</w:t>
            </w:r>
          </w:p>
        </w:tc>
        <w:tc>
          <w:tcPr>
            <w:tcW w:type="dxa" w:w="1361"/>
            <w:vAlign w:val="center"/>
            <w:shd w:val="clear" w:color="auto" w:fill="F2F2F2"/>
          </w:tcPr>
          <w:p>
            <w:pPr>
              <w:jc w:val="center"/>
            </w:pPr>
            <w:r>
              <w:rPr>
                <w:sz w:val="20"/>
              </w:rPr>
              <w:t>84.69</w:t>
            </w:r>
          </w:p>
        </w:tc>
        <w:tc>
          <w:tcPr>
            <w:tcW w:type="dxa" w:w="1247"/>
            <w:vAlign w:val="center"/>
            <w:shd w:val="clear" w:color="auto" w:fill="F2F2F2"/>
          </w:tcPr>
          <w:p>
            <w:pPr>
              <w:jc w:val="center"/>
            </w:pPr>
            <w:r>
              <w:rPr>
                <w:sz w:val="20"/>
              </w:rPr>
              <w:t>2.2</w:t>
            </w:r>
          </w:p>
        </w:tc>
        <w:tc>
          <w:tcPr>
            <w:tcW w:type="dxa" w:w="1361"/>
            <w:vAlign w:val="center"/>
            <w:shd w:val="clear" w:color="auto" w:fill="F2F2F2"/>
          </w:tcPr>
          <w:p>
            <w:pPr>
              <w:jc w:val="center"/>
            </w:pPr>
            <w:r>
              <w:rPr>
                <w:sz w:val="20"/>
              </w:rPr>
              <w:t>0.47</w:t>
            </w:r>
          </w:p>
        </w:tc>
        <w:tc>
          <w:tcPr>
            <w:tcW w:type="dxa" w:w="1361"/>
            <w:vAlign w:val="center"/>
            <w:shd w:val="clear" w:color="auto" w:fill="F2F2F2"/>
          </w:tcPr>
          <w:p>
            <w:pPr>
              <w:jc w:val="center"/>
            </w:pPr>
            <w:r>
              <w:rPr>
                <w:sz w:val="20"/>
              </w:rPr>
              <w:t>99.38</w:t>
            </w:r>
          </w:p>
        </w:tc>
        <w:tc>
          <w:tcPr>
            <w:tcW w:type="dxa" w:w="1531"/>
            <w:vAlign w:val="center"/>
            <w:shd w:val="clear" w:color="auto" w:fill="F2F2F2"/>
          </w:tcPr>
          <w:p>
            <w:pPr>
              <w:jc w:val="center"/>
            </w:pPr>
            <w:r>
              <w:rPr>
                <w:sz w:val="20"/>
              </w:rPr>
              <w:t>83.2</w:t>
            </w:r>
          </w:p>
        </w:tc>
      </w:tr>
      <w:tr>
        <w:tc>
          <w:tcPr>
            <w:tcW w:type="dxa" w:w="850"/>
            <w:vAlign w:val="center"/>
            <w:shd w:val="clear" w:color="auto" w:fill="FFFFFF"/>
          </w:tcPr>
          <w:p>
            <w:pPr>
              <w:jc w:val="center"/>
            </w:pPr>
            <w:r>
              <w:rPr>
                <w:sz w:val="20"/>
              </w:rPr>
              <w:t>0.30</w:t>
            </w:r>
          </w:p>
        </w:tc>
        <w:tc>
          <w:tcPr>
            <w:tcW w:type="dxa" w:w="1361"/>
            <w:vAlign w:val="center"/>
            <w:shd w:val="clear" w:color="auto" w:fill="FFFFFF"/>
          </w:tcPr>
          <w:p>
            <w:pPr>
              <w:jc w:val="center"/>
            </w:pPr>
            <w:r>
              <w:rPr>
                <w:sz w:val="20"/>
              </w:rPr>
              <w:t>11.17</w:t>
            </w:r>
          </w:p>
        </w:tc>
        <w:tc>
          <w:tcPr>
            <w:tcW w:type="dxa" w:w="1361"/>
            <w:vAlign w:val="center"/>
            <w:shd w:val="clear" w:color="auto" w:fill="FFFFFF"/>
          </w:tcPr>
          <w:p>
            <w:pPr>
              <w:jc w:val="center"/>
            </w:pPr>
            <w:r>
              <w:rPr>
                <w:sz w:val="20"/>
              </w:rPr>
              <w:t>85.30</w:t>
            </w:r>
          </w:p>
        </w:tc>
        <w:tc>
          <w:tcPr>
            <w:tcW w:type="dxa" w:w="1247"/>
            <w:vAlign w:val="center"/>
            <w:shd w:val="clear" w:color="auto" w:fill="FFFFFF"/>
          </w:tcPr>
          <w:p>
            <w:pPr>
              <w:jc w:val="center"/>
            </w:pPr>
            <w:r>
              <w:rPr>
                <w:sz w:val="20"/>
              </w:rPr>
              <w:t>2.2</w:t>
            </w:r>
          </w:p>
        </w:tc>
        <w:tc>
          <w:tcPr>
            <w:tcW w:type="dxa" w:w="1361"/>
            <w:vAlign w:val="center"/>
            <w:shd w:val="clear" w:color="auto" w:fill="FFFFFF"/>
          </w:tcPr>
          <w:p>
            <w:pPr>
              <w:jc w:val="center"/>
            </w:pPr>
            <w:r>
              <w:rPr>
                <w:sz w:val="20"/>
              </w:rPr>
              <w:t>0.23</w:t>
            </w:r>
          </w:p>
        </w:tc>
        <w:tc>
          <w:tcPr>
            <w:tcW w:type="dxa" w:w="1361"/>
            <w:vAlign w:val="center"/>
            <w:shd w:val="clear" w:color="auto" w:fill="FFFFFF"/>
          </w:tcPr>
          <w:p>
            <w:pPr>
              <w:jc w:val="center"/>
            </w:pPr>
            <w:r>
              <w:rPr>
                <w:sz w:val="20"/>
              </w:rPr>
              <w:t>99.69</w:t>
            </w:r>
          </w:p>
        </w:tc>
        <w:tc>
          <w:tcPr>
            <w:tcW w:type="dxa" w:w="1531"/>
            <w:vAlign w:val="center"/>
            <w:shd w:val="clear" w:color="auto" w:fill="FFFFFF"/>
          </w:tcPr>
          <w:p>
            <w:pPr>
              <w:jc w:val="center"/>
            </w:pPr>
            <w:r>
              <w:rPr>
                <w:sz w:val="20"/>
              </w:rPr>
              <w:t>83.4</w:t>
            </w:r>
          </w:p>
        </w:tc>
      </w:tr>
    </w:tbl>
    <w:p/>
    <w:p>
      <w:pPr>
        <w:spacing w:after="120"/>
        <w:jc w:val="both"/>
      </w:pPr>
      <w:r>
        <w:rPr>
          <w:b w:val="0"/>
          <w:i w:val="0"/>
          <w:sz w:val="22"/>
        </w:rPr>
        <w:t>Nhận xét:</w:t>
      </w:r>
    </w:p>
    <w:p>
      <w:pPr>
        <w:pStyle w:val="ListBullet"/>
        <w:spacing w:after="60"/>
      </w:pPr>
      <w:r>
        <w:rPr>
          <w:sz w:val="22"/>
        </w:rPr>
        <w:t>Ngay tại ε=0.05, I-FGSM đã đạt 90.44% ASR — mức mà MNIST cần đến ε=0.25 mới đạt được. CIFAR-10 dễ bị tấn công hơn nhiều do model có clean accuracy thấp hơn (76%).</w:t>
      </w:r>
    </w:p>
    <w:p>
      <w:pPr>
        <w:pStyle w:val="ListBullet"/>
        <w:spacing w:after="60"/>
      </w:pPr>
      <w:r>
        <w:rPr>
          <w:sz w:val="22"/>
        </w:rPr>
        <w:t>FGSM bão hòa ở ~85% ASR từ ε=0.15 trở đi, cho thấy trần năng lực tương tự MNIST.</w:t>
      </w:r>
    </w:p>
    <w:p>
      <w:pPr>
        <w:pStyle w:val="ListBullet"/>
        <w:spacing w:after="60"/>
      </w:pPr>
      <w:r>
        <w:rPr>
          <w:sz w:val="22"/>
        </w:rPr>
        <w:t>I-FGSM tại ε=0.10 đã đạt 97.84% ASR — gần như tuyệt đối, trong khi MNIST cần ε=0.15.</w:t>
      </w:r>
    </w:p>
    <w:p>
      <w:pPr>
        <w:pStyle w:val="ListBullet"/>
        <w:spacing w:after="60"/>
      </w:pPr>
      <w:r>
        <w:rPr>
          <w:sz w:val="22"/>
        </w:rPr>
        <w:t>Thời gian I-FGSM trên CIFAR-10 (~85s) ngắn hơn MNIST (~125s) vì CIFAR-10 có ít mẫu đúng hơn (973 vs 1,273), dẫn đến ít tính toán hơn.</w:t>
      </w:r>
    </w:p>
    <w:p>
      <w:pPr>
        <w:spacing w:before="120" w:after="40"/>
        <w:jc w:val="center"/>
      </w:pPr>
      <w:r>
        <w:drawing>
          <wp:inline xmlns:a="http://schemas.openxmlformats.org/drawingml/2006/main" xmlns:pic="http://schemas.openxmlformats.org/drawingml/2006/picture">
            <wp:extent cx="5040000" cy="3112690"/>
            <wp:docPr id="6" name="Picture 6"/>
            <wp:cNvGraphicFramePr>
              <a:graphicFrameLocks noChangeAspect="1"/>
            </wp:cNvGraphicFramePr>
            <a:graphic>
              <a:graphicData uri="http://schemas.openxmlformats.org/drawingml/2006/picture">
                <pic:pic>
                  <pic:nvPicPr>
                    <pic:cNvPr id="0" name="exp1_acc_vs_epsilon_cifar10.png"/>
                    <pic:cNvPicPr/>
                  </pic:nvPicPr>
                  <pic:blipFill>
                    <a:blip r:embed="rId14"/>
                    <a:stretch>
                      <a:fillRect/>
                    </a:stretch>
                  </pic:blipFill>
                  <pic:spPr>
                    <a:xfrm>
                      <a:off x="0" y="0"/>
                      <a:ext cx="5040000" cy="3112690"/>
                    </a:xfrm>
                    <a:prstGeom prst="rect"/>
                  </pic:spPr>
                </pic:pic>
              </a:graphicData>
            </a:graphic>
          </wp:inline>
        </w:drawing>
      </w:r>
    </w:p>
    <w:p>
      <w:pPr>
        <w:spacing w:after="240"/>
        <w:jc w:val="center"/>
      </w:pPr>
      <w:r>
        <w:rPr>
          <w:i/>
          <w:color w:val="555555"/>
          <w:sz w:val="20"/>
        </w:rPr>
        <w:t>Hình 6. CIFAR-10 — Accuracy còn lại theo ε (FGSM vs I-FGSM, T=40)</w:t>
      </w:r>
    </w:p>
    <w:p>
      <w:pPr>
        <w:pStyle w:val="Heading1"/>
        <w:jc w:val="left"/>
      </w:pPr>
      <w:r>
        <w:rPr>
          <w:color w:val="1F3864"/>
        </w:rPr>
        <w:t>6. Thực nghiệm 2 — Ảnh hưởng của số bước T đến I-FGSM</w:t>
      </w:r>
    </w:p>
    <w:p>
      <w:pPr>
        <w:spacing w:after="120"/>
        <w:jc w:val="both"/>
      </w:pPr>
      <w:r>
        <w:rPr>
          <w:b w:val="0"/>
          <w:i w:val="0"/>
          <w:sz w:val="22"/>
        </w:rPr>
        <w:t>Thực nghiệm 2 cố định ε=0.10 (steps_epsilon) và thay đổi số bước T qua [5, 10, 20, 40] để trả lời câu hỏi: bao nhiêu bước là đủ để I-FGSM hội tụ? Lưu ý: ε=0.10 nhỏ hơn ε=0.30 dùng trong thực nghiệm 1 — được chọn để đảm bảo rằng với ít bước (T=5), tấn công chưa bão hòa, giúp thấy rõ ảnh hưởng của T.</w:t>
      </w:r>
    </w:p>
    <w:p>
      <w:pPr>
        <w:pStyle w:val="Heading2"/>
        <w:jc w:val="left"/>
      </w:pPr>
      <w:r>
        <w:rPr>
          <w:color w:val="1F3864"/>
        </w:rPr>
        <w:t>6.1. Kết quả trên MNIST</w:t>
      </w:r>
    </w:p>
    <w:p>
      <w:pPr>
        <w:spacing w:after="120"/>
        <w:jc w:val="both"/>
      </w:pPr>
      <w:r>
        <w:rPr>
          <w:b/>
          <w:i w:val="0"/>
          <w:color w:val="555555"/>
          <w:sz w:val="20"/>
        </w:rPr>
        <w:t>ε=0.10 | 1,273 mẫu phân loại đúng | Clean accuracy: 99.45%</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701"/>
            <w:vAlign w:val="center"/>
            <w:shd w:val="clear" w:color="auto" w:fill="1F3864"/>
          </w:tcPr>
          <w:p>
            <w:pPr>
              <w:jc w:val="center"/>
            </w:pPr>
            <w:r>
              <w:rPr>
                <w:b/>
                <w:color w:val="FFFFFF"/>
                <w:sz w:val="20"/>
              </w:rPr>
              <w:t>T (bước)</w:t>
            </w:r>
          </w:p>
        </w:tc>
        <w:tc>
          <w:tcPr>
            <w:tcW w:type="dxa" w:w="2268"/>
            <w:vAlign w:val="center"/>
            <w:shd w:val="clear" w:color="auto" w:fill="1F3864"/>
          </w:tcPr>
          <w:p>
            <w:pPr>
              <w:jc w:val="center"/>
            </w:pPr>
            <w:r>
              <w:rPr>
                <w:b/>
                <w:color w:val="FFFFFF"/>
                <w:sz w:val="20"/>
              </w:rPr>
              <w:t>I-FGSM Acc (%)</w:t>
            </w:r>
          </w:p>
        </w:tc>
        <w:tc>
          <w:tcPr>
            <w:tcW w:type="dxa" w:w="1984"/>
            <w:vAlign w:val="center"/>
            <w:shd w:val="clear" w:color="auto" w:fill="1F3864"/>
          </w:tcPr>
          <w:p>
            <w:pPr>
              <w:jc w:val="center"/>
            </w:pPr>
            <w:r>
              <w:rPr>
                <w:b/>
                <w:color w:val="FFFFFF"/>
                <w:sz w:val="20"/>
              </w:rPr>
              <w:t>ASR (%)</w:t>
            </w:r>
          </w:p>
        </w:tc>
        <w:tc>
          <w:tcPr>
            <w:tcW w:type="dxa" w:w="2268"/>
            <w:vAlign w:val="center"/>
            <w:shd w:val="clear" w:color="auto" w:fill="1F3864"/>
          </w:tcPr>
          <w:p>
            <w:pPr>
              <w:jc w:val="center"/>
            </w:pPr>
            <w:r>
              <w:rPr>
                <w:b/>
                <w:color w:val="FFFFFF"/>
                <w:sz w:val="20"/>
              </w:rPr>
              <w:t>Acc Drop (pp)</w:t>
            </w:r>
          </w:p>
        </w:tc>
        <w:tc>
          <w:tcPr>
            <w:tcW w:type="dxa" w:w="1984"/>
            <w:vAlign w:val="center"/>
            <w:shd w:val="clear" w:color="auto" w:fill="1F3864"/>
          </w:tcPr>
          <w:p>
            <w:pPr>
              <w:jc w:val="center"/>
            </w:pPr>
            <w:r>
              <w:rPr>
                <w:b/>
                <w:color w:val="FFFFFF"/>
                <w:sz w:val="20"/>
              </w:rPr>
              <w:t>Thời gian (s)</w:t>
            </w:r>
          </w:p>
        </w:tc>
      </w:tr>
      <w:tr>
        <w:tc>
          <w:tcPr>
            <w:tcW w:type="dxa" w:w="1701"/>
            <w:vAlign w:val="center"/>
            <w:shd w:val="clear" w:color="auto" w:fill="F2F2F2"/>
          </w:tcPr>
          <w:p>
            <w:pPr>
              <w:jc w:val="center"/>
            </w:pPr>
            <w:r>
              <w:rPr>
                <w:sz w:val="20"/>
              </w:rPr>
              <w:t>5</w:t>
            </w:r>
          </w:p>
        </w:tc>
        <w:tc>
          <w:tcPr>
            <w:tcW w:type="dxa" w:w="2268"/>
            <w:vAlign w:val="center"/>
            <w:shd w:val="clear" w:color="auto" w:fill="F2F2F2"/>
          </w:tcPr>
          <w:p>
            <w:pPr>
              <w:jc w:val="center"/>
            </w:pPr>
            <w:r>
              <w:rPr>
                <w:sz w:val="20"/>
              </w:rPr>
              <w:t>26.64</w:t>
            </w:r>
          </w:p>
        </w:tc>
        <w:tc>
          <w:tcPr>
            <w:tcW w:type="dxa" w:w="1984"/>
            <w:vAlign w:val="center"/>
            <w:shd w:val="clear" w:color="auto" w:fill="F2F2F2"/>
          </w:tcPr>
          <w:p>
            <w:pPr>
              <w:jc w:val="center"/>
            </w:pPr>
            <w:r>
              <w:rPr>
                <w:sz w:val="20"/>
              </w:rPr>
              <w:t>73.21</w:t>
            </w:r>
          </w:p>
        </w:tc>
        <w:tc>
          <w:tcPr>
            <w:tcW w:type="dxa" w:w="2268"/>
            <w:vAlign w:val="center"/>
            <w:shd w:val="clear" w:color="auto" w:fill="F2F2F2"/>
          </w:tcPr>
          <w:p>
            <w:pPr>
              <w:jc w:val="center"/>
            </w:pPr>
            <w:r>
              <w:rPr>
                <w:sz w:val="20"/>
              </w:rPr>
              <w:t>−72.81</w:t>
            </w:r>
          </w:p>
        </w:tc>
        <w:tc>
          <w:tcPr>
            <w:tcW w:type="dxa" w:w="1984"/>
            <w:vAlign w:val="center"/>
            <w:shd w:val="clear" w:color="auto" w:fill="F2F2F2"/>
          </w:tcPr>
          <w:p>
            <w:pPr>
              <w:jc w:val="center"/>
            </w:pPr>
            <w:r>
              <w:rPr>
                <w:sz w:val="20"/>
              </w:rPr>
              <w:t>15.7</w:t>
            </w:r>
          </w:p>
        </w:tc>
      </w:tr>
      <w:tr>
        <w:tc>
          <w:tcPr>
            <w:tcW w:type="dxa" w:w="1701"/>
            <w:vAlign w:val="center"/>
            <w:shd w:val="clear" w:color="auto" w:fill="FFFFFF"/>
          </w:tcPr>
          <w:p>
            <w:pPr>
              <w:jc w:val="center"/>
            </w:pPr>
            <w:r>
              <w:rPr>
                <w:sz w:val="20"/>
              </w:rPr>
              <w:t>10</w:t>
            </w:r>
          </w:p>
        </w:tc>
        <w:tc>
          <w:tcPr>
            <w:tcW w:type="dxa" w:w="2268"/>
            <w:vAlign w:val="center"/>
            <w:shd w:val="clear" w:color="auto" w:fill="FFFFFF"/>
          </w:tcPr>
          <w:p>
            <w:pPr>
              <w:jc w:val="center"/>
            </w:pPr>
            <w:r>
              <w:rPr>
                <w:sz w:val="20"/>
              </w:rPr>
              <w:t>21.25</w:t>
            </w:r>
          </w:p>
        </w:tc>
        <w:tc>
          <w:tcPr>
            <w:tcW w:type="dxa" w:w="1984"/>
            <w:vAlign w:val="center"/>
            <w:shd w:val="clear" w:color="auto" w:fill="FFFFFF"/>
          </w:tcPr>
          <w:p>
            <w:pPr>
              <w:jc w:val="center"/>
            </w:pPr>
            <w:r>
              <w:rPr>
                <w:sz w:val="20"/>
              </w:rPr>
              <w:t>78.63</w:t>
            </w:r>
          </w:p>
        </w:tc>
        <w:tc>
          <w:tcPr>
            <w:tcW w:type="dxa" w:w="2268"/>
            <w:vAlign w:val="center"/>
            <w:shd w:val="clear" w:color="auto" w:fill="FFFFFF"/>
          </w:tcPr>
          <w:p>
            <w:pPr>
              <w:jc w:val="center"/>
            </w:pPr>
            <w:r>
              <w:rPr>
                <w:sz w:val="20"/>
              </w:rPr>
              <w:t>−78.20</w:t>
            </w:r>
          </w:p>
        </w:tc>
        <w:tc>
          <w:tcPr>
            <w:tcW w:type="dxa" w:w="1984"/>
            <w:vAlign w:val="center"/>
            <w:shd w:val="clear" w:color="auto" w:fill="FFFFFF"/>
          </w:tcPr>
          <w:p>
            <w:pPr>
              <w:jc w:val="center"/>
            </w:pPr>
            <w:r>
              <w:rPr>
                <w:sz w:val="20"/>
              </w:rPr>
              <w:t>32.5</w:t>
            </w:r>
          </w:p>
        </w:tc>
      </w:tr>
      <w:tr>
        <w:tc>
          <w:tcPr>
            <w:tcW w:type="dxa" w:w="1701"/>
            <w:vAlign w:val="center"/>
            <w:shd w:val="clear" w:color="auto" w:fill="F2F2F2"/>
          </w:tcPr>
          <w:p>
            <w:pPr>
              <w:jc w:val="center"/>
            </w:pPr>
            <w:r>
              <w:rPr>
                <w:sz w:val="20"/>
              </w:rPr>
              <w:t>20</w:t>
            </w:r>
          </w:p>
        </w:tc>
        <w:tc>
          <w:tcPr>
            <w:tcW w:type="dxa" w:w="2268"/>
            <w:vAlign w:val="center"/>
            <w:shd w:val="clear" w:color="auto" w:fill="F2F2F2"/>
          </w:tcPr>
          <w:p>
            <w:pPr>
              <w:jc w:val="center"/>
            </w:pPr>
            <w:r>
              <w:rPr>
                <w:sz w:val="20"/>
              </w:rPr>
              <w:t>18.20</w:t>
            </w:r>
          </w:p>
        </w:tc>
        <w:tc>
          <w:tcPr>
            <w:tcW w:type="dxa" w:w="1984"/>
            <w:vAlign w:val="center"/>
            <w:shd w:val="clear" w:color="auto" w:fill="F2F2F2"/>
          </w:tcPr>
          <w:p>
            <w:pPr>
              <w:jc w:val="center"/>
            </w:pPr>
            <w:r>
              <w:rPr>
                <w:sz w:val="20"/>
              </w:rPr>
              <w:t>81.70</w:t>
            </w:r>
          </w:p>
        </w:tc>
        <w:tc>
          <w:tcPr>
            <w:tcW w:type="dxa" w:w="2268"/>
            <w:vAlign w:val="center"/>
            <w:shd w:val="clear" w:color="auto" w:fill="F2F2F2"/>
          </w:tcPr>
          <w:p>
            <w:pPr>
              <w:jc w:val="center"/>
            </w:pPr>
            <w:r>
              <w:rPr>
                <w:sz w:val="20"/>
              </w:rPr>
              <w:t>−81.25</w:t>
            </w:r>
          </w:p>
        </w:tc>
        <w:tc>
          <w:tcPr>
            <w:tcW w:type="dxa" w:w="1984"/>
            <w:vAlign w:val="center"/>
            <w:shd w:val="clear" w:color="auto" w:fill="F2F2F2"/>
          </w:tcPr>
          <w:p>
            <w:pPr>
              <w:jc w:val="center"/>
            </w:pPr>
            <w:r>
              <w:rPr>
                <w:sz w:val="20"/>
              </w:rPr>
              <w:t>63.8</w:t>
            </w:r>
          </w:p>
        </w:tc>
      </w:tr>
      <w:tr>
        <w:tc>
          <w:tcPr>
            <w:tcW w:type="dxa" w:w="1701"/>
            <w:vAlign w:val="center"/>
            <w:shd w:val="clear" w:color="auto" w:fill="FFFFFF"/>
          </w:tcPr>
          <w:p>
            <w:pPr>
              <w:jc w:val="center"/>
            </w:pPr>
            <w:r>
              <w:rPr>
                <w:sz w:val="20"/>
              </w:rPr>
              <w:t>40</w:t>
            </w:r>
          </w:p>
        </w:tc>
        <w:tc>
          <w:tcPr>
            <w:tcW w:type="dxa" w:w="2268"/>
            <w:vAlign w:val="center"/>
            <w:shd w:val="clear" w:color="auto" w:fill="FFFFFF"/>
          </w:tcPr>
          <w:p>
            <w:pPr>
              <w:jc w:val="center"/>
            </w:pPr>
            <w:r>
              <w:rPr>
                <w:sz w:val="20"/>
              </w:rPr>
              <w:t>16.56</w:t>
            </w:r>
          </w:p>
        </w:tc>
        <w:tc>
          <w:tcPr>
            <w:tcW w:type="dxa" w:w="1984"/>
            <w:vAlign w:val="center"/>
            <w:shd w:val="clear" w:color="auto" w:fill="FFFFFF"/>
          </w:tcPr>
          <w:p>
            <w:pPr>
              <w:jc w:val="center"/>
            </w:pPr>
            <w:r>
              <w:rPr>
                <w:sz w:val="20"/>
              </w:rPr>
              <w:t>83.35</w:t>
            </w:r>
          </w:p>
        </w:tc>
        <w:tc>
          <w:tcPr>
            <w:tcW w:type="dxa" w:w="2268"/>
            <w:vAlign w:val="center"/>
            <w:shd w:val="clear" w:color="auto" w:fill="FFFFFF"/>
          </w:tcPr>
          <w:p>
            <w:pPr>
              <w:jc w:val="center"/>
            </w:pPr>
            <w:r>
              <w:rPr>
                <w:sz w:val="20"/>
              </w:rPr>
              <w:t>−82.89</w:t>
            </w:r>
          </w:p>
        </w:tc>
        <w:tc>
          <w:tcPr>
            <w:tcW w:type="dxa" w:w="1984"/>
            <w:vAlign w:val="center"/>
            <w:shd w:val="clear" w:color="auto" w:fill="FFFFFF"/>
          </w:tcPr>
          <w:p>
            <w:pPr>
              <w:jc w:val="center"/>
            </w:pPr>
            <w:r>
              <w:rPr>
                <w:sz w:val="20"/>
              </w:rPr>
              <w:t>126.4</w:t>
            </w:r>
          </w:p>
        </w:tc>
      </w:tr>
    </w:tbl>
    <w:p/>
    <w:p>
      <w:pPr>
        <w:spacing w:after="120"/>
        <w:jc w:val="both"/>
      </w:pPr>
      <w:r>
        <w:rPr>
          <w:b w:val="0"/>
          <w:i w:val="0"/>
          <w:sz w:val="22"/>
        </w:rPr>
        <w:t>Nhận xét:</w:t>
      </w:r>
    </w:p>
    <w:p>
      <w:pPr>
        <w:pStyle w:val="ListBullet"/>
        <w:spacing w:after="60"/>
      </w:pPr>
      <w:r>
        <w:rPr>
          <w:sz w:val="22"/>
        </w:rPr>
        <w:t>Lợi tức giảm dần rõ ràng: T=5→10 cải thiện 5.4 pp, T=10→20 cải thiện 3.1 pp, T=20→40 chỉ cải thiện 1.6 pp.</w:t>
      </w:r>
    </w:p>
    <w:p>
      <w:pPr>
        <w:pStyle w:val="ListBullet"/>
        <w:spacing w:after="60"/>
      </w:pPr>
      <w:r>
        <w:rPr>
          <w:sz w:val="22"/>
        </w:rPr>
        <w:t>Tại T=40, tấn công tiệm cận hội tụ — tăng thêm bước không mang lại cải thiện đáng kể.</w:t>
      </w:r>
    </w:p>
    <w:p>
      <w:pPr>
        <w:pStyle w:val="ListBullet"/>
        <w:spacing w:after="60"/>
      </w:pPr>
      <w:r>
        <w:rPr>
          <w:sz w:val="22"/>
        </w:rPr>
        <w:t>Thời gian tăng tuyến tính với T (~16s/5 bước), xác nhận overhead tính toán là O(T).</w:t>
      </w:r>
    </w:p>
    <w:p>
      <w:pPr>
        <w:spacing w:before="120" w:after="40"/>
        <w:jc w:val="center"/>
      </w:pPr>
      <w:r>
        <w:drawing>
          <wp:inline xmlns:a="http://schemas.openxmlformats.org/drawingml/2006/main" xmlns:pic="http://schemas.openxmlformats.org/drawingml/2006/picture">
            <wp:extent cx="5040000" cy="2827674"/>
            <wp:docPr id="7" name="Picture 7"/>
            <wp:cNvGraphicFramePr>
              <a:graphicFrameLocks noChangeAspect="1"/>
            </wp:cNvGraphicFramePr>
            <a:graphic>
              <a:graphicData uri="http://schemas.openxmlformats.org/drawingml/2006/picture">
                <pic:pic>
                  <pic:nvPicPr>
                    <pic:cNvPr id="0" name="exp2_acc_vs_steps_mnist.png"/>
                    <pic:cNvPicPr/>
                  </pic:nvPicPr>
                  <pic:blipFill>
                    <a:blip r:embed="rId15"/>
                    <a:stretch>
                      <a:fillRect/>
                    </a:stretch>
                  </pic:blipFill>
                  <pic:spPr>
                    <a:xfrm>
                      <a:off x="0" y="0"/>
                      <a:ext cx="5040000" cy="2827674"/>
                    </a:xfrm>
                    <a:prstGeom prst="rect"/>
                  </pic:spPr>
                </pic:pic>
              </a:graphicData>
            </a:graphic>
          </wp:inline>
        </w:drawing>
      </w:r>
    </w:p>
    <w:p>
      <w:pPr>
        <w:spacing w:after="240"/>
        <w:jc w:val="center"/>
      </w:pPr>
      <w:r>
        <w:rPr>
          <w:i/>
          <w:color w:val="555555"/>
          <w:sz w:val="20"/>
        </w:rPr>
        <w:t>Hình 7. MNIST — Accuracy còn lại theo số bước T (ε=0.10)</w:t>
      </w:r>
    </w:p>
    <w:p>
      <w:pPr>
        <w:pStyle w:val="Heading2"/>
        <w:jc w:val="left"/>
      </w:pPr>
      <w:r>
        <w:rPr>
          <w:color w:val="1F3864"/>
        </w:rPr>
        <w:t>6.2. Kết quả trên CIFAR-10</w:t>
      </w:r>
    </w:p>
    <w:p>
      <w:pPr>
        <w:spacing w:after="120"/>
        <w:jc w:val="both"/>
      </w:pPr>
      <w:r>
        <w:rPr>
          <w:b/>
          <w:i w:val="0"/>
          <w:color w:val="555555"/>
          <w:sz w:val="20"/>
        </w:rPr>
        <w:t>ε=0.10 | 973 mẫu phân loại đúng | Clean accuracy: 76.02%</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701"/>
            <w:vAlign w:val="center"/>
            <w:shd w:val="clear" w:color="auto" w:fill="1F3864"/>
          </w:tcPr>
          <w:p>
            <w:pPr>
              <w:jc w:val="center"/>
            </w:pPr>
            <w:r>
              <w:rPr>
                <w:b/>
                <w:color w:val="FFFFFF"/>
                <w:sz w:val="20"/>
              </w:rPr>
              <w:t>T (bước)</w:t>
            </w:r>
          </w:p>
        </w:tc>
        <w:tc>
          <w:tcPr>
            <w:tcW w:type="dxa" w:w="2268"/>
            <w:vAlign w:val="center"/>
            <w:shd w:val="clear" w:color="auto" w:fill="1F3864"/>
          </w:tcPr>
          <w:p>
            <w:pPr>
              <w:jc w:val="center"/>
            </w:pPr>
            <w:r>
              <w:rPr>
                <w:b/>
                <w:color w:val="FFFFFF"/>
                <w:sz w:val="20"/>
              </w:rPr>
              <w:t>I-FGSM Acc (%)</w:t>
            </w:r>
          </w:p>
        </w:tc>
        <w:tc>
          <w:tcPr>
            <w:tcW w:type="dxa" w:w="1984"/>
            <w:vAlign w:val="center"/>
            <w:shd w:val="clear" w:color="auto" w:fill="1F3864"/>
          </w:tcPr>
          <w:p>
            <w:pPr>
              <w:jc w:val="center"/>
            </w:pPr>
            <w:r>
              <w:rPr>
                <w:b/>
                <w:color w:val="FFFFFF"/>
                <w:sz w:val="20"/>
              </w:rPr>
              <w:t>ASR (%)</w:t>
            </w:r>
          </w:p>
        </w:tc>
        <w:tc>
          <w:tcPr>
            <w:tcW w:type="dxa" w:w="2268"/>
            <w:vAlign w:val="center"/>
            <w:shd w:val="clear" w:color="auto" w:fill="1F3864"/>
          </w:tcPr>
          <w:p>
            <w:pPr>
              <w:jc w:val="center"/>
            </w:pPr>
            <w:r>
              <w:rPr>
                <w:b/>
                <w:color w:val="FFFFFF"/>
                <w:sz w:val="20"/>
              </w:rPr>
              <w:t>Acc Drop (pp)</w:t>
            </w:r>
          </w:p>
        </w:tc>
        <w:tc>
          <w:tcPr>
            <w:tcW w:type="dxa" w:w="1984"/>
            <w:vAlign w:val="center"/>
            <w:shd w:val="clear" w:color="auto" w:fill="1F3864"/>
          </w:tcPr>
          <w:p>
            <w:pPr>
              <w:jc w:val="center"/>
            </w:pPr>
            <w:r>
              <w:rPr>
                <w:b/>
                <w:color w:val="FFFFFF"/>
                <w:sz w:val="20"/>
              </w:rPr>
              <w:t>Thời gian (s)</w:t>
            </w:r>
          </w:p>
        </w:tc>
      </w:tr>
      <w:tr>
        <w:tc>
          <w:tcPr>
            <w:tcW w:type="dxa" w:w="1701"/>
            <w:vAlign w:val="center"/>
            <w:shd w:val="clear" w:color="auto" w:fill="F2F2F2"/>
          </w:tcPr>
          <w:p>
            <w:pPr>
              <w:jc w:val="center"/>
            </w:pPr>
            <w:r>
              <w:rPr>
                <w:sz w:val="20"/>
              </w:rPr>
              <w:t>5</w:t>
            </w:r>
          </w:p>
        </w:tc>
        <w:tc>
          <w:tcPr>
            <w:tcW w:type="dxa" w:w="2268"/>
            <w:vAlign w:val="center"/>
            <w:shd w:val="clear" w:color="auto" w:fill="F2F2F2"/>
          </w:tcPr>
          <w:p>
            <w:pPr>
              <w:jc w:val="center"/>
            </w:pPr>
            <w:r>
              <w:rPr>
                <w:sz w:val="20"/>
              </w:rPr>
              <w:t>2.81</w:t>
            </w:r>
          </w:p>
        </w:tc>
        <w:tc>
          <w:tcPr>
            <w:tcW w:type="dxa" w:w="1984"/>
            <w:vAlign w:val="center"/>
            <w:shd w:val="clear" w:color="auto" w:fill="F2F2F2"/>
          </w:tcPr>
          <w:p>
            <w:pPr>
              <w:jc w:val="center"/>
            </w:pPr>
            <w:r>
              <w:rPr>
                <w:sz w:val="20"/>
              </w:rPr>
              <w:t>96.30</w:t>
            </w:r>
          </w:p>
        </w:tc>
        <w:tc>
          <w:tcPr>
            <w:tcW w:type="dxa" w:w="2268"/>
            <w:vAlign w:val="center"/>
            <w:shd w:val="clear" w:color="auto" w:fill="F2F2F2"/>
          </w:tcPr>
          <w:p>
            <w:pPr>
              <w:jc w:val="center"/>
            </w:pPr>
            <w:r>
              <w:rPr>
                <w:sz w:val="20"/>
              </w:rPr>
              <w:t>−73.20</w:t>
            </w:r>
          </w:p>
        </w:tc>
        <w:tc>
          <w:tcPr>
            <w:tcW w:type="dxa" w:w="1984"/>
            <w:vAlign w:val="center"/>
            <w:shd w:val="clear" w:color="auto" w:fill="F2F2F2"/>
          </w:tcPr>
          <w:p>
            <w:pPr>
              <w:jc w:val="center"/>
            </w:pPr>
            <w:r>
              <w:rPr>
                <w:sz w:val="20"/>
              </w:rPr>
              <w:t>10.5</w:t>
            </w:r>
          </w:p>
        </w:tc>
      </w:tr>
      <w:tr>
        <w:tc>
          <w:tcPr>
            <w:tcW w:type="dxa" w:w="1701"/>
            <w:vAlign w:val="center"/>
            <w:shd w:val="clear" w:color="auto" w:fill="FFFFFF"/>
          </w:tcPr>
          <w:p>
            <w:pPr>
              <w:jc w:val="center"/>
            </w:pPr>
            <w:r>
              <w:rPr>
                <w:sz w:val="20"/>
              </w:rPr>
              <w:t>10</w:t>
            </w:r>
          </w:p>
        </w:tc>
        <w:tc>
          <w:tcPr>
            <w:tcW w:type="dxa" w:w="2268"/>
            <w:vAlign w:val="center"/>
            <w:shd w:val="clear" w:color="auto" w:fill="FFFFFF"/>
          </w:tcPr>
          <w:p>
            <w:pPr>
              <w:jc w:val="center"/>
            </w:pPr>
            <w:r>
              <w:rPr>
                <w:sz w:val="20"/>
              </w:rPr>
              <w:t>2.34</w:t>
            </w:r>
          </w:p>
        </w:tc>
        <w:tc>
          <w:tcPr>
            <w:tcW w:type="dxa" w:w="1984"/>
            <w:vAlign w:val="center"/>
            <w:shd w:val="clear" w:color="auto" w:fill="FFFFFF"/>
          </w:tcPr>
          <w:p>
            <w:pPr>
              <w:jc w:val="center"/>
            </w:pPr>
            <w:r>
              <w:rPr>
                <w:sz w:val="20"/>
              </w:rPr>
              <w:t>96.92</w:t>
            </w:r>
          </w:p>
        </w:tc>
        <w:tc>
          <w:tcPr>
            <w:tcW w:type="dxa" w:w="2268"/>
            <w:vAlign w:val="center"/>
            <w:shd w:val="clear" w:color="auto" w:fill="FFFFFF"/>
          </w:tcPr>
          <w:p>
            <w:pPr>
              <w:jc w:val="center"/>
            </w:pPr>
            <w:r>
              <w:rPr>
                <w:sz w:val="20"/>
              </w:rPr>
              <w:t>−73.67</w:t>
            </w:r>
          </w:p>
        </w:tc>
        <w:tc>
          <w:tcPr>
            <w:tcW w:type="dxa" w:w="1984"/>
            <w:vAlign w:val="center"/>
            <w:shd w:val="clear" w:color="auto" w:fill="FFFFFF"/>
          </w:tcPr>
          <w:p>
            <w:pPr>
              <w:jc w:val="center"/>
            </w:pPr>
            <w:r>
              <w:rPr>
                <w:sz w:val="20"/>
              </w:rPr>
              <w:t>21.0</w:t>
            </w:r>
          </w:p>
        </w:tc>
      </w:tr>
      <w:tr>
        <w:tc>
          <w:tcPr>
            <w:tcW w:type="dxa" w:w="1701"/>
            <w:vAlign w:val="center"/>
            <w:shd w:val="clear" w:color="auto" w:fill="F2F2F2"/>
          </w:tcPr>
          <w:p>
            <w:pPr>
              <w:jc w:val="center"/>
            </w:pPr>
            <w:r>
              <w:rPr>
                <w:sz w:val="20"/>
              </w:rPr>
              <w:t>20</w:t>
            </w:r>
          </w:p>
        </w:tc>
        <w:tc>
          <w:tcPr>
            <w:tcW w:type="dxa" w:w="2268"/>
            <w:vAlign w:val="center"/>
            <w:shd w:val="clear" w:color="auto" w:fill="F2F2F2"/>
          </w:tcPr>
          <w:p>
            <w:pPr>
              <w:jc w:val="center"/>
            </w:pPr>
            <w:r>
              <w:rPr>
                <w:sz w:val="20"/>
              </w:rPr>
              <w:t>1.72</w:t>
            </w:r>
          </w:p>
        </w:tc>
        <w:tc>
          <w:tcPr>
            <w:tcW w:type="dxa" w:w="1984"/>
            <w:vAlign w:val="center"/>
            <w:shd w:val="clear" w:color="auto" w:fill="F2F2F2"/>
          </w:tcPr>
          <w:p>
            <w:pPr>
              <w:jc w:val="center"/>
            </w:pPr>
            <w:r>
              <w:rPr>
                <w:sz w:val="20"/>
              </w:rPr>
              <w:t>97.74</w:t>
            </w:r>
          </w:p>
        </w:tc>
        <w:tc>
          <w:tcPr>
            <w:tcW w:type="dxa" w:w="2268"/>
            <w:vAlign w:val="center"/>
            <w:shd w:val="clear" w:color="auto" w:fill="F2F2F2"/>
          </w:tcPr>
          <w:p>
            <w:pPr>
              <w:jc w:val="center"/>
            </w:pPr>
            <w:r>
              <w:rPr>
                <w:sz w:val="20"/>
              </w:rPr>
              <w:t>−74.30</w:t>
            </w:r>
          </w:p>
        </w:tc>
        <w:tc>
          <w:tcPr>
            <w:tcW w:type="dxa" w:w="1984"/>
            <w:vAlign w:val="center"/>
            <w:shd w:val="clear" w:color="auto" w:fill="F2F2F2"/>
          </w:tcPr>
          <w:p>
            <w:pPr>
              <w:jc w:val="center"/>
            </w:pPr>
            <w:r>
              <w:rPr>
                <w:sz w:val="20"/>
              </w:rPr>
              <w:t>42.1</w:t>
            </w:r>
          </w:p>
        </w:tc>
      </w:tr>
      <w:tr>
        <w:tc>
          <w:tcPr>
            <w:tcW w:type="dxa" w:w="1701"/>
            <w:vAlign w:val="center"/>
            <w:shd w:val="clear" w:color="auto" w:fill="FFFFFF"/>
          </w:tcPr>
          <w:p>
            <w:pPr>
              <w:jc w:val="center"/>
            </w:pPr>
            <w:r>
              <w:rPr>
                <w:sz w:val="20"/>
              </w:rPr>
              <w:t>40</w:t>
            </w:r>
          </w:p>
        </w:tc>
        <w:tc>
          <w:tcPr>
            <w:tcW w:type="dxa" w:w="2268"/>
            <w:vAlign w:val="center"/>
            <w:shd w:val="clear" w:color="auto" w:fill="FFFFFF"/>
          </w:tcPr>
          <w:p>
            <w:pPr>
              <w:jc w:val="center"/>
            </w:pPr>
            <w:r>
              <w:rPr>
                <w:sz w:val="20"/>
              </w:rPr>
              <w:t>1.64</w:t>
            </w:r>
          </w:p>
        </w:tc>
        <w:tc>
          <w:tcPr>
            <w:tcW w:type="dxa" w:w="1984"/>
            <w:vAlign w:val="center"/>
            <w:shd w:val="clear" w:color="auto" w:fill="FFFFFF"/>
          </w:tcPr>
          <w:p>
            <w:pPr>
              <w:jc w:val="center"/>
            </w:pPr>
            <w:r>
              <w:rPr>
                <w:sz w:val="20"/>
              </w:rPr>
              <w:t>97.84</w:t>
            </w:r>
          </w:p>
        </w:tc>
        <w:tc>
          <w:tcPr>
            <w:tcW w:type="dxa" w:w="2268"/>
            <w:vAlign w:val="center"/>
            <w:shd w:val="clear" w:color="auto" w:fill="FFFFFF"/>
          </w:tcPr>
          <w:p>
            <w:pPr>
              <w:jc w:val="center"/>
            </w:pPr>
            <w:r>
              <w:rPr>
                <w:sz w:val="20"/>
              </w:rPr>
              <w:t>−74.38</w:t>
            </w:r>
          </w:p>
        </w:tc>
        <w:tc>
          <w:tcPr>
            <w:tcW w:type="dxa" w:w="1984"/>
            <w:vAlign w:val="center"/>
            <w:shd w:val="clear" w:color="auto" w:fill="FFFFFF"/>
          </w:tcPr>
          <w:p>
            <w:pPr>
              <w:jc w:val="center"/>
            </w:pPr>
            <w:r>
              <w:rPr>
                <w:sz w:val="20"/>
              </w:rPr>
              <w:t>84.1</w:t>
            </w:r>
          </w:p>
        </w:tc>
      </w:tr>
    </w:tbl>
    <w:p/>
    <w:p>
      <w:pPr>
        <w:spacing w:after="120"/>
        <w:jc w:val="both"/>
      </w:pPr>
      <w:r>
        <w:rPr>
          <w:b w:val="0"/>
          <w:i w:val="0"/>
          <w:sz w:val="22"/>
        </w:rPr>
        <w:t>Nhận xét:</w:t>
      </w:r>
    </w:p>
    <w:p>
      <w:pPr>
        <w:pStyle w:val="ListBullet"/>
        <w:spacing w:after="60"/>
      </w:pPr>
      <w:r>
        <w:rPr>
          <w:sz w:val="22"/>
        </w:rPr>
        <w:t>CIFAR-10 hội tụ cực nhanh: ngay tại T=5 đã đạt 96.30% ASR, trong khi MNIST ở T=5 chỉ đạt 73.21%.</w:t>
      </w:r>
    </w:p>
    <w:p>
      <w:pPr>
        <w:pStyle w:val="ListBullet"/>
        <w:spacing w:after="60"/>
      </w:pPr>
      <w:r>
        <w:rPr>
          <w:sz w:val="22"/>
        </w:rPr>
        <w:t>Khoảng cải thiện từ T=5 đến T=40 chỉ là 1.54 pp — tấn công thực tế bão hòa từ T=5.</w:t>
      </w:r>
    </w:p>
    <w:p>
      <w:pPr>
        <w:pStyle w:val="ListBullet"/>
        <w:spacing w:after="60"/>
      </w:pPr>
      <w:r>
        <w:rPr>
          <w:sz w:val="22"/>
        </w:rPr>
        <w:t>Kết quả cho thấy với model CIFAR-10 yếu, chỉ cần T=5 bước là đủ để đạt hiệu quả gần tối đa.</w:t>
      </w:r>
    </w:p>
    <w:p>
      <w:pPr>
        <w:spacing w:before="120" w:after="40"/>
        <w:jc w:val="center"/>
      </w:pPr>
      <w:r>
        <w:drawing>
          <wp:inline xmlns:a="http://schemas.openxmlformats.org/drawingml/2006/main" xmlns:pic="http://schemas.openxmlformats.org/drawingml/2006/picture">
            <wp:extent cx="5040000" cy="2827674"/>
            <wp:docPr id="8" name="Picture 8"/>
            <wp:cNvGraphicFramePr>
              <a:graphicFrameLocks noChangeAspect="1"/>
            </wp:cNvGraphicFramePr>
            <a:graphic>
              <a:graphicData uri="http://schemas.openxmlformats.org/drawingml/2006/picture">
                <pic:pic>
                  <pic:nvPicPr>
                    <pic:cNvPr id="0" name="exp2_acc_vs_steps_cifar10.png"/>
                    <pic:cNvPicPr/>
                  </pic:nvPicPr>
                  <pic:blipFill>
                    <a:blip r:embed="rId16"/>
                    <a:stretch>
                      <a:fillRect/>
                    </a:stretch>
                  </pic:blipFill>
                  <pic:spPr>
                    <a:xfrm>
                      <a:off x="0" y="0"/>
                      <a:ext cx="5040000" cy="2827674"/>
                    </a:xfrm>
                    <a:prstGeom prst="rect"/>
                  </pic:spPr>
                </pic:pic>
              </a:graphicData>
            </a:graphic>
          </wp:inline>
        </w:drawing>
      </w:r>
    </w:p>
    <w:p>
      <w:pPr>
        <w:spacing w:after="240"/>
        <w:jc w:val="center"/>
      </w:pPr>
      <w:r>
        <w:rPr>
          <w:i/>
          <w:color w:val="555555"/>
          <w:sz w:val="20"/>
        </w:rPr>
        <w:t>Hình 8. CIFAR-10 — Accuracy còn lại theo số bước T (ε=0.10)</w:t>
      </w:r>
    </w:p>
    <w:p>
      <w:pPr>
        <w:pStyle w:val="Heading1"/>
        <w:jc w:val="left"/>
      </w:pPr>
      <w:r>
        <w:rPr>
          <w:color w:val="1F3864"/>
        </w:rPr>
        <w:t>7. Thực nghiệm 3 — Trực quan hóa ảnh đối kháng</w:t>
      </w:r>
    </w:p>
    <w:p>
      <w:pPr>
        <w:spacing w:after="120"/>
        <w:jc w:val="both"/>
      </w:pPr>
      <w:r>
        <w:rPr>
          <w:b w:val="0"/>
          <w:i w:val="0"/>
          <w:sz w:val="22"/>
        </w:rPr>
        <w:t>Thực nghiệm 3 trực quan hóa tác động của I-FGSM lên từng ảnh cụ thể thông qua ba loại biểu đồ, giúp hiểu trực giác về cơ chế tấn công.</w:t>
      </w:r>
    </w:p>
    <w:p>
      <w:pPr>
        <w:pStyle w:val="Heading2"/>
        <w:jc w:val="left"/>
      </w:pPr>
      <w:r>
        <w:rPr>
          <w:color w:val="1F3864"/>
        </w:rPr>
        <w:t>7.1. So sánh ảnh gốc — nhiễu — ảnh đối kháng</w:t>
      </w:r>
    </w:p>
    <w:p>
      <w:pPr>
        <w:spacing w:after="120"/>
        <w:jc w:val="both"/>
      </w:pPr>
      <w:r>
        <w:rPr>
          <w:b w:val="0"/>
          <w:i w:val="0"/>
          <w:sz w:val="22"/>
        </w:rPr>
        <w:t>Mỗi cột tương ứng một mẫu ảnh: hàng 1 là ảnh gốc, hàng 2 là nhiễu được khuếch đại ×10 (để mắt người có thể thấy), hàng 3 là ảnh đối kháng cuối cùng. Nhãn màu đỏ là dự đoán sai, màu xanh là đúng.</w:t>
      </w:r>
    </w:p>
    <w:p>
      <w:pPr>
        <w:spacing w:before="120" w:after="40"/>
        <w:jc w:val="center"/>
      </w:pPr>
      <w:r>
        <w:drawing>
          <wp:inline xmlns:a="http://schemas.openxmlformats.org/drawingml/2006/main" xmlns:pic="http://schemas.openxmlformats.org/drawingml/2006/picture">
            <wp:extent cx="5040000" cy="3076512"/>
            <wp:docPr id="9" name="Picture 9"/>
            <wp:cNvGraphicFramePr>
              <a:graphicFrameLocks noChangeAspect="1"/>
            </wp:cNvGraphicFramePr>
            <a:graphic>
              <a:graphicData uri="http://schemas.openxmlformats.org/drawingml/2006/picture">
                <pic:pic>
                  <pic:nvPicPr>
                    <pic:cNvPr id="0" name="exp3_examples_mnist.png"/>
                    <pic:cNvPicPr/>
                  </pic:nvPicPr>
                  <pic:blipFill>
                    <a:blip r:embed="rId17"/>
                    <a:stretch>
                      <a:fillRect/>
                    </a:stretch>
                  </pic:blipFill>
                  <pic:spPr>
                    <a:xfrm>
                      <a:off x="0" y="0"/>
                      <a:ext cx="5040000" cy="3076512"/>
                    </a:xfrm>
                    <a:prstGeom prst="rect"/>
                  </pic:spPr>
                </pic:pic>
              </a:graphicData>
            </a:graphic>
          </wp:inline>
        </w:drawing>
      </w:r>
    </w:p>
    <w:p>
      <w:pPr>
        <w:spacing w:after="240"/>
        <w:jc w:val="center"/>
      </w:pPr>
      <w:r>
        <w:rPr>
          <w:i/>
          <w:color w:val="555555"/>
          <w:sz w:val="20"/>
        </w:rPr>
        <w:t>Hình 9. MNIST — Ảnh gốc | Nhiễu ×10 | Ảnh đối kháng (ε=0.30, T=40)</w:t>
      </w:r>
    </w:p>
    <w:p>
      <w:pPr>
        <w:spacing w:before="120" w:after="40"/>
        <w:jc w:val="center"/>
      </w:pPr>
      <w:r>
        <w:drawing>
          <wp:inline xmlns:a="http://schemas.openxmlformats.org/drawingml/2006/main" xmlns:pic="http://schemas.openxmlformats.org/drawingml/2006/picture">
            <wp:extent cx="5040000" cy="3076512"/>
            <wp:docPr id="10" name="Picture 10"/>
            <wp:cNvGraphicFramePr>
              <a:graphicFrameLocks noChangeAspect="1"/>
            </wp:cNvGraphicFramePr>
            <a:graphic>
              <a:graphicData uri="http://schemas.openxmlformats.org/drawingml/2006/picture">
                <pic:pic>
                  <pic:nvPicPr>
                    <pic:cNvPr id="0" name="exp3_examples_cifar10.png"/>
                    <pic:cNvPicPr/>
                  </pic:nvPicPr>
                  <pic:blipFill>
                    <a:blip r:embed="rId18"/>
                    <a:stretch>
                      <a:fillRect/>
                    </a:stretch>
                  </pic:blipFill>
                  <pic:spPr>
                    <a:xfrm>
                      <a:off x="0" y="0"/>
                      <a:ext cx="5040000" cy="3076512"/>
                    </a:xfrm>
                    <a:prstGeom prst="rect"/>
                  </pic:spPr>
                </pic:pic>
              </a:graphicData>
            </a:graphic>
          </wp:inline>
        </w:drawing>
      </w:r>
    </w:p>
    <w:p>
      <w:pPr>
        <w:spacing w:after="240"/>
        <w:jc w:val="center"/>
      </w:pPr>
      <w:r>
        <w:rPr>
          <w:i/>
          <w:color w:val="555555"/>
          <w:sz w:val="20"/>
        </w:rPr>
        <w:t>Hình 10. CIFAR-10 — Ảnh gốc | Nhiễu ×10 | Ảnh đối kháng (ε=0.30, T=40)</w:t>
      </w:r>
    </w:p>
    <w:p>
      <w:pPr>
        <w:pStyle w:val="Heading2"/>
        <w:jc w:val="left"/>
      </w:pPr>
      <w:r>
        <w:rPr>
          <w:color w:val="1F3864"/>
        </w:rPr>
        <w:t>7.2. Biểu đồ xác suất dự đoán trước và sau tấn công</w:t>
      </w:r>
    </w:p>
    <w:p>
      <w:pPr>
        <w:spacing w:after="120"/>
        <w:jc w:val="both"/>
      </w:pPr>
      <w:r>
        <w:rPr>
          <w:b w:val="0"/>
          <w:i w:val="0"/>
          <w:sz w:val="22"/>
        </w:rPr>
        <w:t>Biểu đồ cột softmax trước tấn công (xanh lam) và sau tấn công (đỏ). Cột nhãn đúng được viền đen. Kết quả cho thấy trước tấn công, mô hình phân loại với độ tự tin rất cao (~99%); sau tấn công, toàn bộ xác suất dịch chuyển sang một lớp sai — cũng với độ tự tin ~99%.</w:t>
      </w:r>
    </w:p>
    <w:p>
      <w:pPr>
        <w:spacing w:before="120" w:after="40"/>
        <w:jc w:val="center"/>
      </w:pPr>
      <w:r>
        <w:drawing>
          <wp:inline xmlns:a="http://schemas.openxmlformats.org/drawingml/2006/main" xmlns:pic="http://schemas.openxmlformats.org/drawingml/2006/picture">
            <wp:extent cx="5040000" cy="1069857"/>
            <wp:docPr id="11" name="Picture 11"/>
            <wp:cNvGraphicFramePr>
              <a:graphicFrameLocks noChangeAspect="1"/>
            </wp:cNvGraphicFramePr>
            <a:graphic>
              <a:graphicData uri="http://schemas.openxmlformats.org/drawingml/2006/picture">
                <pic:pic>
                  <pic:nvPicPr>
                    <pic:cNvPr id="0" name="exp3_pred_probs_mnist.png"/>
                    <pic:cNvPicPr/>
                  </pic:nvPicPr>
                  <pic:blipFill>
                    <a:blip r:embed="rId19"/>
                    <a:stretch>
                      <a:fillRect/>
                    </a:stretch>
                  </pic:blipFill>
                  <pic:spPr>
                    <a:xfrm>
                      <a:off x="0" y="0"/>
                      <a:ext cx="5040000" cy="1069857"/>
                    </a:xfrm>
                    <a:prstGeom prst="rect"/>
                  </pic:spPr>
                </pic:pic>
              </a:graphicData>
            </a:graphic>
          </wp:inline>
        </w:drawing>
      </w:r>
    </w:p>
    <w:p>
      <w:pPr>
        <w:spacing w:after="240"/>
        <w:jc w:val="center"/>
      </w:pPr>
      <w:r>
        <w:rPr>
          <w:i/>
          <w:color w:val="555555"/>
          <w:sz w:val="20"/>
        </w:rPr>
        <w:t>Hình 11. MNIST — Phân phối xác suất trước (xanh) và sau (đỏ) tấn công</w:t>
      </w:r>
    </w:p>
    <w:p>
      <w:pPr>
        <w:spacing w:before="120" w:after="40"/>
        <w:jc w:val="center"/>
      </w:pPr>
      <w:r>
        <w:drawing>
          <wp:inline xmlns:a="http://schemas.openxmlformats.org/drawingml/2006/main" xmlns:pic="http://schemas.openxmlformats.org/drawingml/2006/picture">
            <wp:extent cx="5040000" cy="1069857"/>
            <wp:docPr id="12" name="Picture 12"/>
            <wp:cNvGraphicFramePr>
              <a:graphicFrameLocks noChangeAspect="1"/>
            </wp:cNvGraphicFramePr>
            <a:graphic>
              <a:graphicData uri="http://schemas.openxmlformats.org/drawingml/2006/picture">
                <pic:pic>
                  <pic:nvPicPr>
                    <pic:cNvPr id="0" name="exp3_pred_probs_cifar10.png"/>
                    <pic:cNvPicPr/>
                  </pic:nvPicPr>
                  <pic:blipFill>
                    <a:blip r:embed="rId20"/>
                    <a:stretch>
                      <a:fillRect/>
                    </a:stretch>
                  </pic:blipFill>
                  <pic:spPr>
                    <a:xfrm>
                      <a:off x="0" y="0"/>
                      <a:ext cx="5040000" cy="1069857"/>
                    </a:xfrm>
                    <a:prstGeom prst="rect"/>
                  </pic:spPr>
                </pic:pic>
              </a:graphicData>
            </a:graphic>
          </wp:inline>
        </w:drawing>
      </w:r>
    </w:p>
    <w:p>
      <w:pPr>
        <w:spacing w:after="240"/>
        <w:jc w:val="center"/>
      </w:pPr>
      <w:r>
        <w:rPr>
          <w:i/>
          <w:color w:val="555555"/>
          <w:sz w:val="20"/>
        </w:rPr>
        <w:t>Hình 12. CIFAR-10 — Phân phối xác suất trước (xanh) và sau (đỏ) tấn công</w:t>
      </w:r>
    </w:p>
    <w:p>
      <w:pPr>
        <w:pStyle w:val="Heading2"/>
        <w:jc w:val="left"/>
      </w:pPr>
      <w:r>
        <w:rPr>
          <w:color w:val="1F3864"/>
        </w:rPr>
        <w:t>7.3. Diễn biến hàm mất mát qua các bước I-FGSM</w:t>
      </w:r>
    </w:p>
    <w:p>
      <w:pPr>
        <w:spacing w:after="120"/>
        <w:jc w:val="both"/>
      </w:pPr>
      <w:r>
        <w:rPr>
          <w:b w:val="0"/>
          <w:i w:val="0"/>
          <w:sz w:val="22"/>
        </w:rPr>
        <w:t>Biểu đồ đường thể hiện cross-entropy loss tăng dần qua từng bước lặp, xác nhận rằng I-FGSM đang tối ưu hóa đúng hướng: đẩy loss lên cao để khiến mô hình đưa ra dự đoán sai.</w:t>
      </w:r>
    </w:p>
    <w:p>
      <w:pPr>
        <w:spacing w:before="120" w:after="40"/>
        <w:jc w:val="center"/>
      </w:pPr>
      <w:r>
        <w:drawing>
          <wp:inline xmlns:a="http://schemas.openxmlformats.org/drawingml/2006/main" xmlns:pic="http://schemas.openxmlformats.org/drawingml/2006/picture">
            <wp:extent cx="5040000" cy="2831954"/>
            <wp:docPr id="13" name="Picture 13"/>
            <wp:cNvGraphicFramePr>
              <a:graphicFrameLocks noChangeAspect="1"/>
            </wp:cNvGraphicFramePr>
            <a:graphic>
              <a:graphicData uri="http://schemas.openxmlformats.org/drawingml/2006/picture">
                <pic:pic>
                  <pic:nvPicPr>
                    <pic:cNvPr id="0" name="exp3_loss_evolution_mnist.png"/>
                    <pic:cNvPicPr/>
                  </pic:nvPicPr>
                  <pic:blipFill>
                    <a:blip r:embed="rId21"/>
                    <a:stretch>
                      <a:fillRect/>
                    </a:stretch>
                  </pic:blipFill>
                  <pic:spPr>
                    <a:xfrm>
                      <a:off x="0" y="0"/>
                      <a:ext cx="5040000" cy="2831954"/>
                    </a:xfrm>
                    <a:prstGeom prst="rect"/>
                  </pic:spPr>
                </pic:pic>
              </a:graphicData>
            </a:graphic>
          </wp:inline>
        </w:drawing>
      </w:r>
    </w:p>
    <w:p>
      <w:pPr>
        <w:spacing w:after="240"/>
        <w:jc w:val="center"/>
      </w:pPr>
      <w:r>
        <w:rPr>
          <w:i/>
          <w:color w:val="555555"/>
          <w:sz w:val="20"/>
        </w:rPr>
        <w:t>Hình 13. MNIST — Loss tăng dần qua các bước I-FGSM</w:t>
      </w:r>
    </w:p>
    <w:p>
      <w:pPr>
        <w:spacing w:before="120" w:after="40"/>
        <w:jc w:val="center"/>
      </w:pPr>
      <w:r>
        <w:drawing>
          <wp:inline xmlns:a="http://schemas.openxmlformats.org/drawingml/2006/main" xmlns:pic="http://schemas.openxmlformats.org/drawingml/2006/picture">
            <wp:extent cx="5040000" cy="2831954"/>
            <wp:docPr id="14" name="Picture 14"/>
            <wp:cNvGraphicFramePr>
              <a:graphicFrameLocks noChangeAspect="1"/>
            </wp:cNvGraphicFramePr>
            <a:graphic>
              <a:graphicData uri="http://schemas.openxmlformats.org/drawingml/2006/picture">
                <pic:pic>
                  <pic:nvPicPr>
                    <pic:cNvPr id="0" name="exp3_loss_evolution_cifar10.png"/>
                    <pic:cNvPicPr/>
                  </pic:nvPicPr>
                  <pic:blipFill>
                    <a:blip r:embed="rId22"/>
                    <a:stretch>
                      <a:fillRect/>
                    </a:stretch>
                  </pic:blipFill>
                  <pic:spPr>
                    <a:xfrm>
                      <a:off x="0" y="0"/>
                      <a:ext cx="5040000" cy="2831954"/>
                    </a:xfrm>
                    <a:prstGeom prst="rect"/>
                  </pic:spPr>
                </pic:pic>
              </a:graphicData>
            </a:graphic>
          </wp:inline>
        </w:drawing>
      </w:r>
    </w:p>
    <w:p>
      <w:pPr>
        <w:spacing w:after="240"/>
        <w:jc w:val="center"/>
      </w:pPr>
      <w:r>
        <w:rPr>
          <w:i/>
          <w:color w:val="555555"/>
          <w:sz w:val="20"/>
        </w:rPr>
        <w:t>Hình 14. CIFAR-10 — Loss tăng dần qua các bước I-FGSM</w:t>
      </w:r>
    </w:p>
    <w:p>
      <w:pPr>
        <w:pStyle w:val="Heading1"/>
        <w:jc w:val="left"/>
      </w:pPr>
      <w:r>
        <w:rPr>
          <w:color w:val="1F3864"/>
        </w:rPr>
        <w:t>8. Thực nghiệm 4 — So sánh trực quan theo ε và T</w:t>
      </w:r>
    </w:p>
    <w:p>
      <w:pPr>
        <w:spacing w:after="120"/>
        <w:jc w:val="both"/>
      </w:pPr>
      <w:r>
        <w:rPr>
          <w:b w:val="0"/>
          <w:i w:val="0"/>
          <w:sz w:val="22"/>
        </w:rPr>
        <w:t>Thực nghiệm 4 xuất hai bảng ảnh tổng hợp giúp quan sát một cách trực quan và đồng thời ảnh hưởng của ε và T lên cùng một tập mẫu ảnh. Mỗi ô hiển thị ảnh đối kháng kèm nhãn dự đoán (✓ xanh = đúng / ✗ đỏ = sai) và độ tự tin (%).</w:t>
      </w:r>
    </w:p>
    <w:p>
      <w:pPr>
        <w:pStyle w:val="Heading2"/>
        <w:jc w:val="left"/>
      </w:pPr>
      <w:r>
        <w:rPr>
          <w:color w:val="1F3864"/>
        </w:rPr>
        <w:t>8.1. Grid so sánh theo ε (cố định T=40)</w:t>
      </w:r>
    </w:p>
    <w:p>
      <w:pPr>
        <w:spacing w:before="120" w:after="40"/>
        <w:jc w:val="center"/>
      </w:pPr>
      <w:r>
        <w:drawing>
          <wp:inline xmlns:a="http://schemas.openxmlformats.org/drawingml/2006/main" xmlns:pic="http://schemas.openxmlformats.org/drawingml/2006/picture">
            <wp:extent cx="5040000" cy="4008498"/>
            <wp:docPr id="15" name="Picture 15"/>
            <wp:cNvGraphicFramePr>
              <a:graphicFrameLocks noChangeAspect="1"/>
            </wp:cNvGraphicFramePr>
            <a:graphic>
              <a:graphicData uri="http://schemas.openxmlformats.org/drawingml/2006/picture">
                <pic:pic>
                  <pic:nvPicPr>
                    <pic:cNvPr id="0" name="exp4_grid_epsilon_mnist.png"/>
                    <pic:cNvPicPr/>
                  </pic:nvPicPr>
                  <pic:blipFill>
                    <a:blip r:embed="rId23"/>
                    <a:stretch>
                      <a:fillRect/>
                    </a:stretch>
                  </pic:blipFill>
                  <pic:spPr>
                    <a:xfrm>
                      <a:off x="0" y="0"/>
                      <a:ext cx="5040000" cy="4008498"/>
                    </a:xfrm>
                    <a:prstGeom prst="rect"/>
                  </pic:spPr>
                </pic:pic>
              </a:graphicData>
            </a:graphic>
          </wp:inline>
        </w:drawing>
      </w:r>
    </w:p>
    <w:p>
      <w:pPr>
        <w:spacing w:after="240"/>
        <w:jc w:val="center"/>
      </w:pPr>
      <w:r>
        <w:rPr>
          <w:i/>
          <w:color w:val="555555"/>
          <w:sz w:val="20"/>
        </w:rPr>
        <w:t>Hình 15. MNIST — So sánh ảnh đối kháng I-FGSM tại các mức ε khác nhau (T=40)</w:t>
      </w:r>
    </w:p>
    <w:p>
      <w:pPr>
        <w:spacing w:before="120" w:after="40"/>
        <w:jc w:val="center"/>
      </w:pPr>
      <w:r>
        <w:drawing>
          <wp:inline xmlns:a="http://schemas.openxmlformats.org/drawingml/2006/main" xmlns:pic="http://schemas.openxmlformats.org/drawingml/2006/picture">
            <wp:extent cx="5040000" cy="4008498"/>
            <wp:docPr id="16" name="Picture 16"/>
            <wp:cNvGraphicFramePr>
              <a:graphicFrameLocks noChangeAspect="1"/>
            </wp:cNvGraphicFramePr>
            <a:graphic>
              <a:graphicData uri="http://schemas.openxmlformats.org/drawingml/2006/picture">
                <pic:pic>
                  <pic:nvPicPr>
                    <pic:cNvPr id="0" name="exp4_grid_epsilon_cifar10.png"/>
                    <pic:cNvPicPr/>
                  </pic:nvPicPr>
                  <pic:blipFill>
                    <a:blip r:embed="rId24"/>
                    <a:stretch>
                      <a:fillRect/>
                    </a:stretch>
                  </pic:blipFill>
                  <pic:spPr>
                    <a:xfrm>
                      <a:off x="0" y="0"/>
                      <a:ext cx="5040000" cy="4008498"/>
                    </a:xfrm>
                    <a:prstGeom prst="rect"/>
                  </pic:spPr>
                </pic:pic>
              </a:graphicData>
            </a:graphic>
          </wp:inline>
        </w:drawing>
      </w:r>
    </w:p>
    <w:p>
      <w:pPr>
        <w:spacing w:after="240"/>
        <w:jc w:val="center"/>
      </w:pPr>
      <w:r>
        <w:rPr>
          <w:i/>
          <w:color w:val="555555"/>
          <w:sz w:val="20"/>
        </w:rPr>
        <w:t>Hình 16. CIFAR-10 — So sánh ảnh đối kháng I-FGSM tại các mức ε khác nhau (T=40)</w:t>
      </w:r>
    </w:p>
    <w:p>
      <w:pPr>
        <w:pStyle w:val="Heading2"/>
        <w:jc w:val="left"/>
      </w:pPr>
      <w:r>
        <w:rPr>
          <w:color w:val="1F3864"/>
        </w:rPr>
        <w:t>8.2. Grid so sánh theo số bước T (cố định ε=0.10)</w:t>
      </w:r>
    </w:p>
    <w:p>
      <w:pPr>
        <w:spacing w:before="120" w:after="40"/>
        <w:jc w:val="center"/>
      </w:pPr>
      <w:r>
        <w:drawing>
          <wp:inline xmlns:a="http://schemas.openxmlformats.org/drawingml/2006/main" xmlns:pic="http://schemas.openxmlformats.org/drawingml/2006/picture">
            <wp:extent cx="5040000" cy="4684671"/>
            <wp:docPr id="17" name="Picture 17"/>
            <wp:cNvGraphicFramePr>
              <a:graphicFrameLocks noChangeAspect="1"/>
            </wp:cNvGraphicFramePr>
            <a:graphic>
              <a:graphicData uri="http://schemas.openxmlformats.org/drawingml/2006/picture">
                <pic:pic>
                  <pic:nvPicPr>
                    <pic:cNvPr id="0" name="exp4_grid_steps_mnist.png"/>
                    <pic:cNvPicPr/>
                  </pic:nvPicPr>
                  <pic:blipFill>
                    <a:blip r:embed="rId25"/>
                    <a:stretch>
                      <a:fillRect/>
                    </a:stretch>
                  </pic:blipFill>
                  <pic:spPr>
                    <a:xfrm>
                      <a:off x="0" y="0"/>
                      <a:ext cx="5040000" cy="4684671"/>
                    </a:xfrm>
                    <a:prstGeom prst="rect"/>
                  </pic:spPr>
                </pic:pic>
              </a:graphicData>
            </a:graphic>
          </wp:inline>
        </w:drawing>
      </w:r>
    </w:p>
    <w:p>
      <w:pPr>
        <w:spacing w:after="240"/>
        <w:jc w:val="center"/>
      </w:pPr>
      <w:r>
        <w:rPr>
          <w:i/>
          <w:color w:val="555555"/>
          <w:sz w:val="20"/>
        </w:rPr>
        <w:t>Hình 17. MNIST — So sánh ảnh đối kháng I-FGSM theo số bước T (ε=0.10)</w:t>
      </w:r>
    </w:p>
    <w:p>
      <w:pPr>
        <w:spacing w:before="120" w:after="40"/>
        <w:jc w:val="center"/>
      </w:pPr>
      <w:r>
        <w:drawing>
          <wp:inline xmlns:a="http://schemas.openxmlformats.org/drawingml/2006/main" xmlns:pic="http://schemas.openxmlformats.org/drawingml/2006/picture">
            <wp:extent cx="5040000" cy="4684671"/>
            <wp:docPr id="18" name="Picture 18"/>
            <wp:cNvGraphicFramePr>
              <a:graphicFrameLocks noChangeAspect="1"/>
            </wp:cNvGraphicFramePr>
            <a:graphic>
              <a:graphicData uri="http://schemas.openxmlformats.org/drawingml/2006/picture">
                <pic:pic>
                  <pic:nvPicPr>
                    <pic:cNvPr id="0" name="exp4_grid_steps_cifar10.png"/>
                    <pic:cNvPicPr/>
                  </pic:nvPicPr>
                  <pic:blipFill>
                    <a:blip r:embed="rId26"/>
                    <a:stretch>
                      <a:fillRect/>
                    </a:stretch>
                  </pic:blipFill>
                  <pic:spPr>
                    <a:xfrm>
                      <a:off x="0" y="0"/>
                      <a:ext cx="5040000" cy="4684671"/>
                    </a:xfrm>
                    <a:prstGeom prst="rect"/>
                  </pic:spPr>
                </pic:pic>
              </a:graphicData>
            </a:graphic>
          </wp:inline>
        </w:drawing>
      </w:r>
    </w:p>
    <w:p>
      <w:pPr>
        <w:spacing w:after="240"/>
        <w:jc w:val="center"/>
      </w:pPr>
      <w:r>
        <w:rPr>
          <w:i/>
          <w:color w:val="555555"/>
          <w:sz w:val="20"/>
        </w:rPr>
        <w:t>Hình 18. CIFAR-10 — So sánh ảnh đối kháng I-FGSM theo số bước T (ε=0.10)</w:t>
      </w:r>
    </w:p>
    <w:p>
      <w:pPr>
        <w:pStyle w:val="Heading1"/>
        <w:jc w:val="left"/>
      </w:pPr>
      <w:r>
        <w:rPr>
          <w:color w:val="1F3864"/>
        </w:rPr>
        <w:t>9. Thực nghiệm 5 — Cross-Architecture Transfer Attack</w:t>
      </w:r>
    </w:p>
    <w:p>
      <w:pPr>
        <w:spacing w:after="120"/>
        <w:jc w:val="both"/>
      </w:pPr>
      <w:r>
        <w:rPr>
          <w:b w:val="0"/>
          <w:i w:val="0"/>
          <w:sz w:val="22"/>
        </w:rPr>
        <w:t>Thực nghiệm 5 trả lời câu hỏi: ảnh đối kháng sinh ra từ mô hình A (source) có thể đánh lừa mô hình B hoàn toàn khác kiến trúc (target) không? Ba model CIFAR-10 (SimpleCNN, ResNet18, MobileNetV2) tạo thành ma trận tấn công 3×3: diagonal là white-box (WB), off-diagonal là transfer attack (black-box). Epsilon đại diện được chọn là ε=0.20 — giá trị cho thấy sự khác biệt WB vs Transfer rõ ràng nhất trong khi transfer rate vẫn đủ cao để thấy mức độ nguy hiểm thực tế.</w:t>
      </w:r>
    </w:p>
    <w:p>
      <w:pPr>
        <w:pStyle w:val="Heading2"/>
        <w:jc w:val="left"/>
      </w:pPr>
      <w:r>
        <w:rPr>
          <w:color w:val="1F3864"/>
        </w:rPr>
        <w:t>9.1. Độ chính xác nền (Clean Accuracy) của 3 model</w:t>
      </w:r>
    </w:p>
    <w:tbl>
      <w:tblPr>
        <w:tblStyle w:val="TableGrid"/>
        <w:tblW w:type="auto" w:w="0"/>
        <w:jc w:val="center"/>
        <w:tblLook w:firstColumn="1" w:firstRow="1" w:lastColumn="0" w:lastRow="0" w:noHBand="0" w:noVBand="1" w:val="04A0"/>
      </w:tblPr>
      <w:tblGrid>
        <w:gridCol w:w="4702"/>
        <w:gridCol w:w="4702"/>
      </w:tblGrid>
      <w:tr>
        <w:tc>
          <w:tcPr>
            <w:tcW w:type="dxa" w:w="3118"/>
            <w:vAlign w:val="center"/>
            <w:shd w:val="clear" w:color="auto" w:fill="1F3864"/>
          </w:tcPr>
          <w:p>
            <w:pPr>
              <w:jc w:val="center"/>
            </w:pPr>
            <w:r>
              <w:rPr>
                <w:b/>
                <w:color w:val="FFFFFF"/>
                <w:sz w:val="20"/>
              </w:rPr>
              <w:t>Mô hình</w:t>
            </w:r>
          </w:p>
        </w:tc>
        <w:tc>
          <w:tcPr>
            <w:tcW w:type="dxa" w:w="6520"/>
            <w:vAlign w:val="center"/>
            <w:shd w:val="clear" w:color="auto" w:fill="1F3864"/>
          </w:tcPr>
          <w:p>
            <w:pPr>
              <w:jc w:val="center"/>
            </w:pPr>
            <w:r>
              <w:rPr>
                <w:b/>
                <w:color w:val="FFFFFF"/>
                <w:sz w:val="20"/>
              </w:rPr>
              <w:t>Clean Accuracy (CIFAR-10 test set)</w:t>
            </w:r>
          </w:p>
        </w:tc>
      </w:tr>
      <w:tr>
        <w:tc>
          <w:tcPr>
            <w:tcW w:type="dxa" w:w="3118"/>
            <w:vAlign w:val="center"/>
            <w:shd w:val="clear" w:color="auto" w:fill="F2F2F2"/>
          </w:tcPr>
          <w:p>
            <w:pPr>
              <w:jc w:val="center"/>
            </w:pPr>
            <w:r>
              <w:rPr>
                <w:sz w:val="20"/>
              </w:rPr>
              <w:t>SimpleCNN</w:t>
            </w:r>
          </w:p>
        </w:tc>
        <w:tc>
          <w:tcPr>
            <w:tcW w:type="dxa" w:w="6520"/>
            <w:vAlign w:val="center"/>
            <w:shd w:val="clear" w:color="auto" w:fill="F2F2F2"/>
          </w:tcPr>
          <w:p>
            <w:pPr>
              <w:jc w:val="center"/>
            </w:pPr>
            <w:r>
              <w:rPr>
                <w:sz w:val="20"/>
              </w:rPr>
              <w:t>76.02%</w:t>
            </w:r>
          </w:p>
        </w:tc>
      </w:tr>
      <w:tr>
        <w:tc>
          <w:tcPr>
            <w:tcW w:type="dxa" w:w="3118"/>
            <w:vAlign w:val="center"/>
            <w:shd w:val="clear" w:color="auto" w:fill="FFFFFF"/>
          </w:tcPr>
          <w:p>
            <w:pPr>
              <w:jc w:val="center"/>
            </w:pPr>
            <w:r>
              <w:rPr>
                <w:sz w:val="20"/>
              </w:rPr>
              <w:t>ResNet18</w:t>
            </w:r>
          </w:p>
        </w:tc>
        <w:tc>
          <w:tcPr>
            <w:tcW w:type="dxa" w:w="6520"/>
            <w:vAlign w:val="center"/>
            <w:shd w:val="clear" w:color="auto" w:fill="FFFFFF"/>
          </w:tcPr>
          <w:p>
            <w:pPr>
              <w:jc w:val="center"/>
            </w:pPr>
            <w:r>
              <w:rPr>
                <w:sz w:val="20"/>
              </w:rPr>
              <w:t>81.48%</w:t>
            </w:r>
          </w:p>
        </w:tc>
      </w:tr>
      <w:tr>
        <w:tc>
          <w:tcPr>
            <w:tcW w:type="dxa" w:w="3118"/>
            <w:vAlign w:val="center"/>
            <w:shd w:val="clear" w:color="auto" w:fill="F2F2F2"/>
          </w:tcPr>
          <w:p>
            <w:pPr>
              <w:jc w:val="center"/>
            </w:pPr>
            <w:r>
              <w:rPr>
                <w:sz w:val="20"/>
              </w:rPr>
              <w:t>MobileNetV2</w:t>
            </w:r>
          </w:p>
        </w:tc>
        <w:tc>
          <w:tcPr>
            <w:tcW w:type="dxa" w:w="6520"/>
            <w:vAlign w:val="center"/>
            <w:shd w:val="clear" w:color="auto" w:fill="F2F2F2"/>
          </w:tcPr>
          <w:p>
            <w:pPr>
              <w:jc w:val="center"/>
            </w:pPr>
            <w:r>
              <w:rPr>
                <w:sz w:val="20"/>
              </w:rPr>
              <w:t>85.00%</w:t>
            </w:r>
          </w:p>
        </w:tc>
      </w:tr>
    </w:tbl>
    <w:p/>
    <w:p>
      <w:pPr>
        <w:pStyle w:val="Heading2"/>
        <w:jc w:val="left"/>
      </w:pPr>
      <w:r>
        <w:rPr>
          <w:color w:val="1F3864"/>
        </w:rPr>
        <w:t>9.2. Ma trận Attack Success Rate tại ε=0.20</w:t>
      </w:r>
    </w:p>
    <w:p>
      <w:pPr>
        <w:spacing w:after="120"/>
        <w:jc w:val="both"/>
      </w:pPr>
      <w:r>
        <w:rPr>
          <w:b w:val="0"/>
          <w:i w:val="0"/>
          <w:sz w:val="22"/>
        </w:rPr>
        <w:t>Bảng dưới đây trình bày ASR (%) của FGSM và I-FGSM tại ε=0.20. Hàng = Source model (sinh ảnh đối kháng), Cột = Target model (bị tấn công). Ô chéo (WB) là tấn công white-box; ô ngoài chéo là transfer black-box.</w:t>
      </w:r>
    </w:p>
    <w:p>
      <w:pPr>
        <w:spacing w:after="120"/>
        <w:jc w:val="both"/>
      </w:pPr>
      <w:r>
        <w:rPr>
          <w:b/>
          <w:i w:val="0"/>
          <w:color w:val="555555"/>
          <w:sz w:val="20"/>
        </w:rPr>
        <w:t>FGSM — ASR (%) tại ε=0.20:</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vAlign w:val="center"/>
            <w:shd w:val="clear" w:color="auto" w:fill="1F3864"/>
          </w:tcPr>
          <w:p>
            <w:pPr>
              <w:jc w:val="center"/>
            </w:pPr>
            <w:r>
              <w:rPr>
                <w:b/>
                <w:color w:val="FFFFFF"/>
                <w:sz w:val="20"/>
              </w:rPr>
              <w:t>Source \ Target</w:t>
            </w:r>
          </w:p>
        </w:tc>
        <w:tc>
          <w:tcPr>
            <w:tcW w:type="dxa" w:w="2551"/>
            <w:vAlign w:val="center"/>
            <w:shd w:val="clear" w:color="auto" w:fill="1F3864"/>
          </w:tcPr>
          <w:p>
            <w:pPr>
              <w:jc w:val="center"/>
            </w:pPr>
            <w:r>
              <w:rPr>
                <w:b/>
                <w:color w:val="FFFFFF"/>
                <w:sz w:val="20"/>
              </w:rPr>
              <w:t>SimpleCNN</w:t>
            </w:r>
          </w:p>
        </w:tc>
        <w:tc>
          <w:tcPr>
            <w:tcW w:type="dxa" w:w="2551"/>
            <w:vAlign w:val="center"/>
            <w:shd w:val="clear" w:color="auto" w:fill="1F3864"/>
          </w:tcPr>
          <w:p>
            <w:pPr>
              <w:jc w:val="center"/>
            </w:pPr>
            <w:r>
              <w:rPr>
                <w:b/>
                <w:color w:val="FFFFFF"/>
                <w:sz w:val="20"/>
              </w:rPr>
              <w:t>ResNet18</w:t>
            </w:r>
          </w:p>
        </w:tc>
        <w:tc>
          <w:tcPr>
            <w:tcW w:type="dxa" w:w="2551"/>
            <w:vAlign w:val="center"/>
            <w:shd w:val="clear" w:color="auto" w:fill="1F3864"/>
          </w:tcPr>
          <w:p>
            <w:pPr>
              <w:jc w:val="center"/>
            </w:pPr>
            <w:r>
              <w:rPr>
                <w:b/>
                <w:color w:val="FFFFFF"/>
                <w:sz w:val="20"/>
              </w:rPr>
              <w:t>MobileNetV2</w:t>
            </w:r>
          </w:p>
        </w:tc>
      </w:tr>
      <w:tr>
        <w:tc>
          <w:tcPr>
            <w:tcW w:type="dxa" w:w="2268"/>
            <w:vAlign w:val="center"/>
            <w:shd w:val="clear" w:color="auto" w:fill="F2F2F2"/>
          </w:tcPr>
          <w:p>
            <w:pPr>
              <w:jc w:val="center"/>
            </w:pPr>
            <w:r>
              <w:rPr>
                <w:sz w:val="20"/>
              </w:rPr>
              <w:t>SimpleCNN</w:t>
            </w:r>
          </w:p>
        </w:tc>
        <w:tc>
          <w:tcPr>
            <w:tcW w:type="dxa" w:w="2551"/>
            <w:vAlign w:val="center"/>
            <w:shd w:val="clear" w:color="auto" w:fill="F2F2F2"/>
          </w:tcPr>
          <w:p>
            <w:pPr>
              <w:jc w:val="center"/>
            </w:pPr>
            <w:r>
              <w:rPr>
                <w:sz w:val="20"/>
              </w:rPr>
              <w:t>84.17% (WB)</w:t>
            </w:r>
          </w:p>
        </w:tc>
        <w:tc>
          <w:tcPr>
            <w:tcW w:type="dxa" w:w="2551"/>
            <w:vAlign w:val="center"/>
            <w:shd w:val="clear" w:color="auto" w:fill="F2F2F2"/>
          </w:tcPr>
          <w:p>
            <w:pPr>
              <w:jc w:val="center"/>
            </w:pPr>
            <w:r>
              <w:rPr>
                <w:sz w:val="20"/>
              </w:rPr>
              <w:t>64.13%</w:t>
            </w:r>
          </w:p>
        </w:tc>
        <w:tc>
          <w:tcPr>
            <w:tcW w:type="dxa" w:w="2551"/>
            <w:vAlign w:val="center"/>
            <w:shd w:val="clear" w:color="auto" w:fill="F2F2F2"/>
          </w:tcPr>
          <w:p>
            <w:pPr>
              <w:jc w:val="center"/>
            </w:pPr>
            <w:r>
              <w:rPr>
                <w:sz w:val="20"/>
              </w:rPr>
              <w:t>73.79%</w:t>
            </w:r>
          </w:p>
        </w:tc>
      </w:tr>
      <w:tr>
        <w:tc>
          <w:tcPr>
            <w:tcW w:type="dxa" w:w="2268"/>
            <w:vAlign w:val="center"/>
            <w:shd w:val="clear" w:color="auto" w:fill="FFFFFF"/>
          </w:tcPr>
          <w:p>
            <w:pPr>
              <w:jc w:val="center"/>
            </w:pPr>
            <w:r>
              <w:rPr>
                <w:sz w:val="20"/>
              </w:rPr>
              <w:t>ResNet18</w:t>
            </w:r>
          </w:p>
        </w:tc>
        <w:tc>
          <w:tcPr>
            <w:tcW w:type="dxa" w:w="2551"/>
            <w:vAlign w:val="center"/>
            <w:shd w:val="clear" w:color="auto" w:fill="FFFFFF"/>
          </w:tcPr>
          <w:p>
            <w:pPr>
              <w:jc w:val="center"/>
            </w:pPr>
            <w:r>
              <w:rPr>
                <w:sz w:val="20"/>
              </w:rPr>
              <w:t>75.55%</w:t>
            </w:r>
          </w:p>
        </w:tc>
        <w:tc>
          <w:tcPr>
            <w:tcW w:type="dxa" w:w="2551"/>
            <w:vAlign w:val="center"/>
            <w:shd w:val="clear" w:color="auto" w:fill="FFFFFF"/>
          </w:tcPr>
          <w:p>
            <w:pPr>
              <w:jc w:val="center"/>
            </w:pPr>
            <w:r>
              <w:rPr>
                <w:sz w:val="20"/>
              </w:rPr>
              <w:t>89.45% (WB)</w:t>
            </w:r>
          </w:p>
        </w:tc>
        <w:tc>
          <w:tcPr>
            <w:tcW w:type="dxa" w:w="2551"/>
            <w:vAlign w:val="center"/>
            <w:shd w:val="clear" w:color="auto" w:fill="FFFFFF"/>
          </w:tcPr>
          <w:p>
            <w:pPr>
              <w:jc w:val="center"/>
            </w:pPr>
            <w:r>
              <w:rPr>
                <w:sz w:val="20"/>
              </w:rPr>
              <w:t>75.26%</w:t>
            </w:r>
          </w:p>
        </w:tc>
      </w:tr>
      <w:tr>
        <w:tc>
          <w:tcPr>
            <w:tcW w:type="dxa" w:w="2268"/>
            <w:vAlign w:val="center"/>
            <w:shd w:val="clear" w:color="auto" w:fill="F2F2F2"/>
          </w:tcPr>
          <w:p>
            <w:pPr>
              <w:jc w:val="center"/>
            </w:pPr>
            <w:r>
              <w:rPr>
                <w:sz w:val="20"/>
              </w:rPr>
              <w:t>MobileNetV2</w:t>
            </w:r>
          </w:p>
        </w:tc>
        <w:tc>
          <w:tcPr>
            <w:tcW w:type="dxa" w:w="2551"/>
            <w:vAlign w:val="center"/>
            <w:shd w:val="clear" w:color="auto" w:fill="F2F2F2"/>
          </w:tcPr>
          <w:p>
            <w:pPr>
              <w:jc w:val="center"/>
            </w:pPr>
            <w:r>
              <w:rPr>
                <w:sz w:val="20"/>
              </w:rPr>
              <w:t>74.63%</w:t>
            </w:r>
          </w:p>
        </w:tc>
        <w:tc>
          <w:tcPr>
            <w:tcW w:type="dxa" w:w="2551"/>
            <w:vAlign w:val="center"/>
            <w:shd w:val="clear" w:color="auto" w:fill="F2F2F2"/>
          </w:tcPr>
          <w:p>
            <w:pPr>
              <w:jc w:val="center"/>
            </w:pPr>
            <w:r>
              <w:rPr>
                <w:sz w:val="20"/>
              </w:rPr>
              <w:t>63.88%</w:t>
            </w:r>
          </w:p>
        </w:tc>
        <w:tc>
          <w:tcPr>
            <w:tcW w:type="dxa" w:w="2551"/>
            <w:vAlign w:val="center"/>
            <w:shd w:val="clear" w:color="auto" w:fill="F2F2F2"/>
          </w:tcPr>
          <w:p>
            <w:pPr>
              <w:jc w:val="center"/>
            </w:pPr>
            <w:r>
              <w:rPr>
                <w:sz w:val="20"/>
              </w:rPr>
              <w:t>81.34% (WB)</w:t>
            </w:r>
          </w:p>
        </w:tc>
      </w:tr>
    </w:tbl>
    <w:p/>
    <w:p>
      <w:pPr>
        <w:spacing w:after="120"/>
        <w:jc w:val="both"/>
      </w:pPr>
      <w:r>
        <w:rPr>
          <w:b/>
          <w:i w:val="0"/>
          <w:color w:val="555555"/>
          <w:sz w:val="20"/>
        </w:rPr>
        <w:t>I-FGSM — ASR (%) tại ε=0.20 (T=40 bước):</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vAlign w:val="center"/>
            <w:shd w:val="clear" w:color="auto" w:fill="1F3864"/>
          </w:tcPr>
          <w:p>
            <w:pPr>
              <w:jc w:val="center"/>
            </w:pPr>
            <w:r>
              <w:rPr>
                <w:b/>
                <w:color w:val="FFFFFF"/>
                <w:sz w:val="20"/>
              </w:rPr>
              <w:t>Source \ Target</w:t>
            </w:r>
          </w:p>
        </w:tc>
        <w:tc>
          <w:tcPr>
            <w:tcW w:type="dxa" w:w="2551"/>
            <w:vAlign w:val="center"/>
            <w:shd w:val="clear" w:color="auto" w:fill="1F3864"/>
          </w:tcPr>
          <w:p>
            <w:pPr>
              <w:jc w:val="center"/>
            </w:pPr>
            <w:r>
              <w:rPr>
                <w:b/>
                <w:color w:val="FFFFFF"/>
                <w:sz w:val="20"/>
              </w:rPr>
              <w:t>SimpleCNN</w:t>
            </w:r>
          </w:p>
        </w:tc>
        <w:tc>
          <w:tcPr>
            <w:tcW w:type="dxa" w:w="2551"/>
            <w:vAlign w:val="center"/>
            <w:shd w:val="clear" w:color="auto" w:fill="1F3864"/>
          </w:tcPr>
          <w:p>
            <w:pPr>
              <w:jc w:val="center"/>
            </w:pPr>
            <w:r>
              <w:rPr>
                <w:b/>
                <w:color w:val="FFFFFF"/>
                <w:sz w:val="20"/>
              </w:rPr>
              <w:t>ResNet18</w:t>
            </w:r>
          </w:p>
        </w:tc>
        <w:tc>
          <w:tcPr>
            <w:tcW w:type="dxa" w:w="2551"/>
            <w:vAlign w:val="center"/>
            <w:shd w:val="clear" w:color="auto" w:fill="1F3864"/>
          </w:tcPr>
          <w:p>
            <w:pPr>
              <w:jc w:val="center"/>
            </w:pPr>
            <w:r>
              <w:rPr>
                <w:b/>
                <w:color w:val="FFFFFF"/>
                <w:sz w:val="20"/>
              </w:rPr>
              <w:t>MobileNetV2</w:t>
            </w:r>
          </w:p>
        </w:tc>
      </w:tr>
      <w:tr>
        <w:tc>
          <w:tcPr>
            <w:tcW w:type="dxa" w:w="2268"/>
            <w:vAlign w:val="center"/>
            <w:shd w:val="clear" w:color="auto" w:fill="F2F2F2"/>
          </w:tcPr>
          <w:p>
            <w:pPr>
              <w:jc w:val="center"/>
            </w:pPr>
            <w:r>
              <w:rPr>
                <w:sz w:val="20"/>
              </w:rPr>
              <w:t>SimpleCNN</w:t>
            </w:r>
          </w:p>
        </w:tc>
        <w:tc>
          <w:tcPr>
            <w:tcW w:type="dxa" w:w="2551"/>
            <w:vAlign w:val="center"/>
            <w:shd w:val="clear" w:color="auto" w:fill="F2F2F2"/>
          </w:tcPr>
          <w:p>
            <w:pPr>
              <w:jc w:val="center"/>
            </w:pPr>
            <w:r>
              <w:rPr>
                <w:sz w:val="20"/>
              </w:rPr>
              <w:t>98.87% (WB)</w:t>
            </w:r>
          </w:p>
        </w:tc>
        <w:tc>
          <w:tcPr>
            <w:tcW w:type="dxa" w:w="2551"/>
            <w:vAlign w:val="center"/>
            <w:shd w:val="clear" w:color="auto" w:fill="F2F2F2"/>
          </w:tcPr>
          <w:p>
            <w:pPr>
              <w:jc w:val="center"/>
            </w:pPr>
            <w:r>
              <w:rPr>
                <w:sz w:val="20"/>
              </w:rPr>
              <w:t>67.83%</w:t>
            </w:r>
          </w:p>
        </w:tc>
        <w:tc>
          <w:tcPr>
            <w:tcW w:type="dxa" w:w="2551"/>
            <w:vAlign w:val="center"/>
            <w:shd w:val="clear" w:color="auto" w:fill="F2F2F2"/>
          </w:tcPr>
          <w:p>
            <w:pPr>
              <w:jc w:val="center"/>
            </w:pPr>
            <w:r>
              <w:rPr>
                <w:sz w:val="20"/>
              </w:rPr>
              <w:t>90.44%</w:t>
            </w:r>
          </w:p>
        </w:tc>
      </w:tr>
      <w:tr>
        <w:tc>
          <w:tcPr>
            <w:tcW w:type="dxa" w:w="2268"/>
            <w:vAlign w:val="center"/>
            <w:shd w:val="clear" w:color="auto" w:fill="FFFFFF"/>
          </w:tcPr>
          <w:p>
            <w:pPr>
              <w:jc w:val="center"/>
            </w:pPr>
            <w:r>
              <w:rPr>
                <w:sz w:val="20"/>
              </w:rPr>
              <w:t>ResNet18</w:t>
            </w:r>
          </w:p>
        </w:tc>
        <w:tc>
          <w:tcPr>
            <w:tcW w:type="dxa" w:w="2551"/>
            <w:vAlign w:val="center"/>
            <w:shd w:val="clear" w:color="auto" w:fill="FFFFFF"/>
          </w:tcPr>
          <w:p>
            <w:pPr>
              <w:jc w:val="center"/>
            </w:pPr>
            <w:r>
              <w:rPr>
                <w:sz w:val="20"/>
              </w:rPr>
              <w:t>83.32%</w:t>
            </w:r>
          </w:p>
        </w:tc>
        <w:tc>
          <w:tcPr>
            <w:tcW w:type="dxa" w:w="2551"/>
            <w:vAlign w:val="center"/>
            <w:shd w:val="clear" w:color="auto" w:fill="FFFFFF"/>
          </w:tcPr>
          <w:p>
            <w:pPr>
              <w:jc w:val="center"/>
            </w:pPr>
            <w:r>
              <w:rPr>
                <w:sz w:val="20"/>
              </w:rPr>
              <w:t>98.66% (WB)</w:t>
            </w:r>
          </w:p>
        </w:tc>
        <w:tc>
          <w:tcPr>
            <w:tcW w:type="dxa" w:w="2551"/>
            <w:vAlign w:val="center"/>
            <w:shd w:val="clear" w:color="auto" w:fill="FFFFFF"/>
          </w:tcPr>
          <w:p>
            <w:pPr>
              <w:jc w:val="center"/>
            </w:pPr>
            <w:r>
              <w:rPr>
                <w:sz w:val="20"/>
              </w:rPr>
              <w:t>87.92%</w:t>
            </w:r>
          </w:p>
        </w:tc>
      </w:tr>
      <w:tr>
        <w:tc>
          <w:tcPr>
            <w:tcW w:type="dxa" w:w="2268"/>
            <w:vAlign w:val="center"/>
            <w:shd w:val="clear" w:color="auto" w:fill="F2F2F2"/>
          </w:tcPr>
          <w:p>
            <w:pPr>
              <w:jc w:val="center"/>
            </w:pPr>
            <w:r>
              <w:rPr>
                <w:sz w:val="20"/>
              </w:rPr>
              <w:t>MobileNetV2</w:t>
            </w:r>
          </w:p>
        </w:tc>
        <w:tc>
          <w:tcPr>
            <w:tcW w:type="dxa" w:w="2551"/>
            <w:vAlign w:val="center"/>
            <w:shd w:val="clear" w:color="auto" w:fill="F2F2F2"/>
          </w:tcPr>
          <w:p>
            <w:pPr>
              <w:jc w:val="center"/>
            </w:pPr>
            <w:r>
              <w:rPr>
                <w:sz w:val="20"/>
              </w:rPr>
              <w:t>81.80%</w:t>
            </w:r>
          </w:p>
        </w:tc>
        <w:tc>
          <w:tcPr>
            <w:tcW w:type="dxa" w:w="2551"/>
            <w:vAlign w:val="center"/>
            <w:shd w:val="clear" w:color="auto" w:fill="F2F2F2"/>
          </w:tcPr>
          <w:p>
            <w:pPr>
              <w:jc w:val="center"/>
            </w:pPr>
            <w:r>
              <w:rPr>
                <w:sz w:val="20"/>
              </w:rPr>
              <w:t>66.73%</w:t>
            </w:r>
          </w:p>
        </w:tc>
        <w:tc>
          <w:tcPr>
            <w:tcW w:type="dxa" w:w="2551"/>
            <w:vAlign w:val="center"/>
            <w:shd w:val="clear" w:color="auto" w:fill="F2F2F2"/>
          </w:tcPr>
          <w:p>
            <w:pPr>
              <w:jc w:val="center"/>
            </w:pPr>
            <w:r>
              <w:rPr>
                <w:sz w:val="20"/>
              </w:rPr>
              <w:t>99.26% (WB)</w:t>
            </w:r>
          </w:p>
        </w:tc>
      </w:tr>
    </w:tbl>
    <w:p/>
    <w:p>
      <w:pPr>
        <w:spacing w:after="120"/>
        <w:jc w:val="both"/>
      </w:pPr>
      <w:r>
        <w:rPr>
          <w:b w:val="0"/>
          <w:i w:val="0"/>
          <w:sz w:val="22"/>
        </w:rPr>
        <w:t>Nhận xét:</w:t>
      </w:r>
    </w:p>
    <w:p>
      <w:pPr>
        <w:pStyle w:val="ListBullet"/>
        <w:spacing w:after="60"/>
      </w:pPr>
      <w:r>
        <w:rPr>
          <w:sz w:val="22"/>
        </w:rPr>
        <w:t>White-box ASR (I-FGSM) đạt 98–99% cho cả 3 model — xác nhận mọi kiến trúc đều cực kỳ dễ bị tấn công trong điều kiện white-box.</w:t>
      </w:r>
    </w:p>
    <w:p>
      <w:pPr>
        <w:pStyle w:val="ListBullet"/>
        <w:spacing w:after="60"/>
      </w:pPr>
      <w:r>
        <w:rPr>
          <w:sz w:val="22"/>
        </w:rPr>
        <w:t>Transfer rate (I-FGSM) dao động 67–90%: vẫn rất nguy hiểm ngay cả khi attacker không biết kiến trúc model mục tiêu.</w:t>
      </w:r>
    </w:p>
    <w:p>
      <w:pPr>
        <w:pStyle w:val="ListBullet"/>
        <w:spacing w:after="60"/>
      </w:pPr>
      <w:r>
        <w:rPr>
          <w:sz w:val="22"/>
        </w:rPr>
        <w:t>SimpleCNN→MobileNetV2 đạt transfer rate cao nhất (90.44%) — cho thấy hai kiến trúc này chia sẻ các pattern dễ bị khai thác tương tự nhau.</w:t>
      </w:r>
    </w:p>
    <w:p>
      <w:pPr>
        <w:pStyle w:val="ListBullet"/>
        <w:spacing w:after="60"/>
      </w:pPr>
      <w:r>
        <w:rPr>
          <w:sz w:val="22"/>
        </w:rPr>
        <w:t>MobileNetV2→ResNet18 đạt transfer rate thấp nhất (66.73%) — khoảng cách kiến trúc lớn nhất trong bộ 3, đặc biệt do MobileNetV2 dùng depthwise convolution rất khác ResNet18.</w:t>
      </w:r>
    </w:p>
    <w:p>
      <w:pPr>
        <w:pStyle w:val="ListBullet"/>
        <w:spacing w:after="60"/>
      </w:pPr>
      <w:r>
        <w:rPr>
          <w:sz w:val="22"/>
        </w:rPr>
        <w:t>FGSM có transfer rate đồng đều hơn I-FGSM (64–76%), chứng tỏ nhiễu 1 bước tìm hướng tổng quát hơn, ít overfit vào decision boundary của source model.</w:t>
      </w:r>
    </w:p>
    <w:p>
      <w:pPr>
        <w:spacing w:before="120" w:after="40"/>
        <w:jc w:val="center"/>
      </w:pPr>
      <w:r>
        <w:drawing>
          <wp:inline xmlns:a="http://schemas.openxmlformats.org/drawingml/2006/main" xmlns:pic="http://schemas.openxmlformats.org/drawingml/2006/picture">
            <wp:extent cx="5040000" cy="1845207"/>
            <wp:docPr id="19" name="Picture 19"/>
            <wp:cNvGraphicFramePr>
              <a:graphicFrameLocks noChangeAspect="1"/>
            </wp:cNvGraphicFramePr>
            <a:graphic>
              <a:graphicData uri="http://schemas.openxmlformats.org/drawingml/2006/picture">
                <pic:pic>
                  <pic:nvPicPr>
                    <pic:cNvPr id="0" name="exp5_transfer_heatmap_eps0.2.png"/>
                    <pic:cNvPicPr/>
                  </pic:nvPicPr>
                  <pic:blipFill>
                    <a:blip r:embed="rId27"/>
                    <a:stretch>
                      <a:fillRect/>
                    </a:stretch>
                  </pic:blipFill>
                  <pic:spPr>
                    <a:xfrm>
                      <a:off x="0" y="0"/>
                      <a:ext cx="5040000" cy="1845207"/>
                    </a:xfrm>
                    <a:prstGeom prst="rect"/>
                  </pic:spPr>
                </pic:pic>
              </a:graphicData>
            </a:graphic>
          </wp:inline>
        </w:drawing>
      </w:r>
    </w:p>
    <w:p>
      <w:pPr>
        <w:spacing w:after="240"/>
        <w:jc w:val="center"/>
      </w:pPr>
      <w:r>
        <w:rPr>
          <w:i/>
          <w:color w:val="555555"/>
          <w:sz w:val="20"/>
        </w:rPr>
        <w:t>Hình 19. Heatmap ASR ma trận 3×3 tại ε=0.20 — FGSM (trái) và I-FGSM (phải). Đường chéo (WB) sáng nhất; off-diagonal thể hiện mức độ chuyển tiếp tấn công.</w:t>
      </w:r>
    </w:p>
    <w:p>
      <w:pPr>
        <w:spacing w:before="120" w:after="40"/>
        <w:jc w:val="center"/>
      </w:pPr>
      <w:r>
        <w:drawing>
          <wp:inline xmlns:a="http://schemas.openxmlformats.org/drawingml/2006/main" xmlns:pic="http://schemas.openxmlformats.org/drawingml/2006/picture">
            <wp:extent cx="5040000" cy="1793612"/>
            <wp:docPr id="20" name="Picture 20"/>
            <wp:cNvGraphicFramePr>
              <a:graphicFrameLocks noChangeAspect="1"/>
            </wp:cNvGraphicFramePr>
            <a:graphic>
              <a:graphicData uri="http://schemas.openxmlformats.org/drawingml/2006/picture">
                <pic:pic>
                  <pic:nvPicPr>
                    <pic:cNvPr id="0" name="exp5_transfer_asr_vs_epsilon.png"/>
                    <pic:cNvPicPr/>
                  </pic:nvPicPr>
                  <pic:blipFill>
                    <a:blip r:embed="rId28"/>
                    <a:stretch>
                      <a:fillRect/>
                    </a:stretch>
                  </pic:blipFill>
                  <pic:spPr>
                    <a:xfrm>
                      <a:off x="0" y="0"/>
                      <a:ext cx="5040000" cy="1793612"/>
                    </a:xfrm>
                    <a:prstGeom prst="rect"/>
                  </pic:spPr>
                </pic:pic>
              </a:graphicData>
            </a:graphic>
          </wp:inline>
        </w:drawing>
      </w:r>
    </w:p>
    <w:p>
      <w:pPr>
        <w:spacing w:after="240"/>
        <w:jc w:val="center"/>
      </w:pPr>
      <w:r>
        <w:rPr>
          <w:i/>
          <w:color w:val="555555"/>
          <w:sz w:val="20"/>
        </w:rPr>
        <w:t>Hình 20. Transfer ASR theo ε cho tất cả cặp source→target — FGSM và I-FGSM. WB (đường đứt nét) luôn cao hơn transfer, khoảng cách thu hẹp dần khi ε tăng.</w:t>
      </w:r>
    </w:p>
    <w:p>
      <w:pPr>
        <w:pStyle w:val="Heading1"/>
        <w:jc w:val="left"/>
      </w:pPr>
      <w:r>
        <w:rPr>
          <w:color w:val="1F3864"/>
        </w:rPr>
        <w:t>10. Phân tích và thảo luận</w:t>
      </w:r>
    </w:p>
    <w:p>
      <w:pPr>
        <w:pStyle w:val="Heading2"/>
        <w:jc w:val="left"/>
      </w:pPr>
      <w:r>
        <w:rPr>
          <w:color w:val="1F3864"/>
        </w:rPr>
        <w:t>10.1. So sánh tổng thể MNIST và CIFAR-10</w:t>
      </w:r>
    </w:p>
    <w:tbl>
      <w:tblPr>
        <w:tblStyle w:val="TableGrid"/>
        <w:tblW w:type="auto" w:w="0"/>
        <w:jc w:val="center"/>
        <w:tblLook w:firstColumn="1" w:firstRow="1" w:lastColumn="0" w:lastRow="0" w:noHBand="0" w:noVBand="1" w:val="04A0"/>
      </w:tblPr>
      <w:tblGrid>
        <w:gridCol w:w="3135"/>
        <w:gridCol w:w="3135"/>
        <w:gridCol w:w="3135"/>
      </w:tblGrid>
      <w:tr>
        <w:tc>
          <w:tcPr>
            <w:tcW w:type="dxa" w:w="3685"/>
            <w:vAlign w:val="center"/>
            <w:shd w:val="clear" w:color="auto" w:fill="1F3864"/>
          </w:tcPr>
          <w:p>
            <w:pPr>
              <w:jc w:val="center"/>
            </w:pPr>
            <w:r>
              <w:rPr>
                <w:b/>
                <w:color w:val="FFFFFF"/>
                <w:sz w:val="20"/>
              </w:rPr>
              <w:t>Tiêu chí so sánh</w:t>
            </w:r>
          </w:p>
        </w:tc>
        <w:tc>
          <w:tcPr>
            <w:tcW w:type="dxa" w:w="2268"/>
            <w:vAlign w:val="center"/>
            <w:shd w:val="clear" w:color="auto" w:fill="1F3864"/>
          </w:tcPr>
          <w:p>
            <w:pPr>
              <w:jc w:val="center"/>
            </w:pPr>
            <w:r>
              <w:rPr>
                <w:b/>
                <w:color w:val="FFFFFF"/>
                <w:sz w:val="20"/>
              </w:rPr>
              <w:t>MNIST</w:t>
            </w:r>
          </w:p>
        </w:tc>
        <w:tc>
          <w:tcPr>
            <w:tcW w:type="dxa" w:w="3118"/>
            <w:vAlign w:val="center"/>
            <w:shd w:val="clear" w:color="auto" w:fill="1F3864"/>
          </w:tcPr>
          <w:p>
            <w:pPr>
              <w:jc w:val="center"/>
            </w:pPr>
            <w:r>
              <w:rPr>
                <w:b/>
                <w:color w:val="FFFFFF"/>
                <w:sz w:val="20"/>
              </w:rPr>
              <w:t>CIFAR-10</w:t>
            </w:r>
          </w:p>
        </w:tc>
      </w:tr>
      <w:tr>
        <w:tc>
          <w:tcPr>
            <w:tcW w:type="dxa" w:w="3685"/>
            <w:vAlign w:val="center"/>
            <w:shd w:val="clear" w:color="auto" w:fill="F2F2F2"/>
          </w:tcPr>
          <w:p>
            <w:pPr>
              <w:jc w:val="center"/>
            </w:pPr>
            <w:r>
              <w:rPr>
                <w:sz w:val="20"/>
              </w:rPr>
              <w:t>Clean Accuracy</w:t>
            </w:r>
          </w:p>
        </w:tc>
        <w:tc>
          <w:tcPr>
            <w:tcW w:type="dxa" w:w="2268"/>
            <w:vAlign w:val="center"/>
            <w:shd w:val="clear" w:color="auto" w:fill="F2F2F2"/>
          </w:tcPr>
          <w:p>
            <w:pPr>
              <w:jc w:val="center"/>
            </w:pPr>
            <w:r>
              <w:rPr>
                <w:sz w:val="20"/>
              </w:rPr>
              <w:t>99.45%</w:t>
            </w:r>
          </w:p>
        </w:tc>
        <w:tc>
          <w:tcPr>
            <w:tcW w:type="dxa" w:w="3118"/>
            <w:vAlign w:val="center"/>
            <w:shd w:val="clear" w:color="auto" w:fill="F2F2F2"/>
          </w:tcPr>
          <w:p>
            <w:pPr>
              <w:jc w:val="center"/>
            </w:pPr>
            <w:r>
              <w:rPr>
                <w:sz w:val="20"/>
              </w:rPr>
              <w:t>76.02%</w:t>
            </w:r>
          </w:p>
        </w:tc>
      </w:tr>
      <w:tr>
        <w:tc>
          <w:tcPr>
            <w:tcW w:type="dxa" w:w="3685"/>
            <w:vAlign w:val="center"/>
            <w:shd w:val="clear" w:color="auto" w:fill="FFFFFF"/>
          </w:tcPr>
          <w:p>
            <w:pPr>
              <w:jc w:val="center"/>
            </w:pPr>
            <w:r>
              <w:rPr>
                <w:sz w:val="20"/>
              </w:rPr>
              <w:t>I-FGSM ASR tại ε=0.05</w:t>
            </w:r>
          </w:p>
        </w:tc>
        <w:tc>
          <w:tcPr>
            <w:tcW w:type="dxa" w:w="2268"/>
            <w:vAlign w:val="center"/>
            <w:shd w:val="clear" w:color="auto" w:fill="FFFFFF"/>
          </w:tcPr>
          <w:p>
            <w:pPr>
              <w:jc w:val="center"/>
            </w:pPr>
            <w:r>
              <w:rPr>
                <w:sz w:val="20"/>
              </w:rPr>
              <w:t>14.30%</w:t>
            </w:r>
          </w:p>
        </w:tc>
        <w:tc>
          <w:tcPr>
            <w:tcW w:type="dxa" w:w="3118"/>
            <w:vAlign w:val="center"/>
            <w:shd w:val="clear" w:color="auto" w:fill="FFFFFF"/>
          </w:tcPr>
          <w:p>
            <w:pPr>
              <w:jc w:val="center"/>
            </w:pPr>
            <w:r>
              <w:rPr>
                <w:sz w:val="20"/>
              </w:rPr>
              <w:t>90.44%</w:t>
            </w:r>
          </w:p>
        </w:tc>
      </w:tr>
      <w:tr>
        <w:tc>
          <w:tcPr>
            <w:tcW w:type="dxa" w:w="3685"/>
            <w:vAlign w:val="center"/>
            <w:shd w:val="clear" w:color="auto" w:fill="F2F2F2"/>
          </w:tcPr>
          <w:p>
            <w:pPr>
              <w:jc w:val="center"/>
            </w:pPr>
            <w:r>
              <w:rPr>
                <w:sz w:val="20"/>
              </w:rPr>
              <w:t>I-FGSM ASR tại ε=0.10</w:t>
            </w:r>
          </w:p>
        </w:tc>
        <w:tc>
          <w:tcPr>
            <w:tcW w:type="dxa" w:w="2268"/>
            <w:vAlign w:val="center"/>
            <w:shd w:val="clear" w:color="auto" w:fill="F2F2F2"/>
          </w:tcPr>
          <w:p>
            <w:pPr>
              <w:jc w:val="center"/>
            </w:pPr>
            <w:r>
              <w:rPr>
                <w:sz w:val="20"/>
              </w:rPr>
              <w:t>83.35%</w:t>
            </w:r>
          </w:p>
        </w:tc>
        <w:tc>
          <w:tcPr>
            <w:tcW w:type="dxa" w:w="3118"/>
            <w:vAlign w:val="center"/>
            <w:shd w:val="clear" w:color="auto" w:fill="F2F2F2"/>
          </w:tcPr>
          <w:p>
            <w:pPr>
              <w:jc w:val="center"/>
            </w:pPr>
            <w:r>
              <w:rPr>
                <w:sz w:val="20"/>
              </w:rPr>
              <w:t>97.84%</w:t>
            </w:r>
          </w:p>
        </w:tc>
      </w:tr>
      <w:tr>
        <w:tc>
          <w:tcPr>
            <w:tcW w:type="dxa" w:w="3685"/>
            <w:vAlign w:val="center"/>
            <w:shd w:val="clear" w:color="auto" w:fill="FFFFFF"/>
          </w:tcPr>
          <w:p>
            <w:pPr>
              <w:jc w:val="center"/>
            </w:pPr>
            <w:r>
              <w:rPr>
                <w:sz w:val="20"/>
              </w:rPr>
              <w:t>ε để I-FGSM đạt 100% ASR</w:t>
            </w:r>
          </w:p>
        </w:tc>
        <w:tc>
          <w:tcPr>
            <w:tcW w:type="dxa" w:w="2268"/>
            <w:vAlign w:val="center"/>
            <w:shd w:val="clear" w:color="auto" w:fill="FFFFFF"/>
          </w:tcPr>
          <w:p>
            <w:pPr>
              <w:jc w:val="center"/>
            </w:pPr>
            <w:r>
              <w:rPr>
                <w:sz w:val="20"/>
              </w:rPr>
              <w:t>0.20</w:t>
            </w:r>
          </w:p>
        </w:tc>
        <w:tc>
          <w:tcPr>
            <w:tcW w:type="dxa" w:w="3118"/>
            <w:vAlign w:val="center"/>
            <w:shd w:val="clear" w:color="auto" w:fill="FFFFFF"/>
          </w:tcPr>
          <w:p>
            <w:pPr>
              <w:jc w:val="center"/>
            </w:pPr>
            <w:r>
              <w:rPr>
                <w:sz w:val="20"/>
              </w:rPr>
              <w:t>Không đạt (max ~99.7%)</w:t>
            </w:r>
          </w:p>
        </w:tc>
      </w:tr>
      <w:tr>
        <w:tc>
          <w:tcPr>
            <w:tcW w:type="dxa" w:w="3685"/>
            <w:vAlign w:val="center"/>
            <w:shd w:val="clear" w:color="auto" w:fill="F2F2F2"/>
          </w:tcPr>
          <w:p>
            <w:pPr>
              <w:jc w:val="center"/>
            </w:pPr>
            <w:r>
              <w:rPr>
                <w:sz w:val="20"/>
              </w:rPr>
              <w:t>FGSM ASR ceiling (ε=0.30)</w:t>
            </w:r>
          </w:p>
        </w:tc>
        <w:tc>
          <w:tcPr>
            <w:tcW w:type="dxa" w:w="2268"/>
            <w:vAlign w:val="center"/>
            <w:shd w:val="clear" w:color="auto" w:fill="F2F2F2"/>
          </w:tcPr>
          <w:p>
            <w:pPr>
              <w:jc w:val="center"/>
            </w:pPr>
            <w:r>
              <w:rPr>
                <w:sz w:val="20"/>
              </w:rPr>
              <w:t>88.77%</w:t>
            </w:r>
          </w:p>
        </w:tc>
        <w:tc>
          <w:tcPr>
            <w:tcW w:type="dxa" w:w="3118"/>
            <w:vAlign w:val="center"/>
            <w:shd w:val="clear" w:color="auto" w:fill="F2F2F2"/>
          </w:tcPr>
          <w:p>
            <w:pPr>
              <w:jc w:val="center"/>
            </w:pPr>
            <w:r>
              <w:rPr>
                <w:sz w:val="20"/>
              </w:rPr>
              <w:t>85.30%</w:t>
            </w:r>
          </w:p>
        </w:tc>
      </w:tr>
      <w:tr>
        <w:tc>
          <w:tcPr>
            <w:tcW w:type="dxa" w:w="3685"/>
            <w:vAlign w:val="center"/>
            <w:shd w:val="clear" w:color="auto" w:fill="FFFFFF"/>
          </w:tcPr>
          <w:p>
            <w:pPr>
              <w:jc w:val="center"/>
            </w:pPr>
            <w:r>
              <w:rPr>
                <w:sz w:val="20"/>
              </w:rPr>
              <w:t>T để I-FGSM hội tụ (ε=0.10)</w:t>
            </w:r>
          </w:p>
        </w:tc>
        <w:tc>
          <w:tcPr>
            <w:tcW w:type="dxa" w:w="2268"/>
            <w:vAlign w:val="center"/>
            <w:shd w:val="clear" w:color="auto" w:fill="FFFFFF"/>
          </w:tcPr>
          <w:p>
            <w:pPr>
              <w:jc w:val="center"/>
            </w:pPr>
            <w:r>
              <w:rPr>
                <w:sz w:val="20"/>
              </w:rPr>
              <w:t>~40 bước</w:t>
            </w:r>
          </w:p>
        </w:tc>
        <w:tc>
          <w:tcPr>
            <w:tcW w:type="dxa" w:w="3118"/>
            <w:vAlign w:val="center"/>
            <w:shd w:val="clear" w:color="auto" w:fill="FFFFFF"/>
          </w:tcPr>
          <w:p>
            <w:pPr>
              <w:jc w:val="center"/>
            </w:pPr>
            <w:r>
              <w:rPr>
                <w:sz w:val="20"/>
              </w:rPr>
              <w:t>~5 bước</w:t>
            </w:r>
          </w:p>
        </w:tc>
      </w:tr>
      <w:tr>
        <w:tc>
          <w:tcPr>
            <w:tcW w:type="dxa" w:w="3685"/>
            <w:vAlign w:val="center"/>
            <w:shd w:val="clear" w:color="auto" w:fill="F2F2F2"/>
          </w:tcPr>
          <w:p>
            <w:pPr>
              <w:jc w:val="center"/>
            </w:pPr>
            <w:r>
              <w:rPr>
                <w:sz w:val="20"/>
              </w:rPr>
              <w:t>Thời gian I-FGSM (T=40)</w:t>
            </w:r>
          </w:p>
        </w:tc>
        <w:tc>
          <w:tcPr>
            <w:tcW w:type="dxa" w:w="2268"/>
            <w:vAlign w:val="center"/>
            <w:shd w:val="clear" w:color="auto" w:fill="F2F2F2"/>
          </w:tcPr>
          <w:p>
            <w:pPr>
              <w:jc w:val="center"/>
            </w:pPr>
            <w:r>
              <w:rPr>
                <w:sz w:val="20"/>
              </w:rPr>
              <w:t>~125s</w:t>
            </w:r>
          </w:p>
        </w:tc>
        <w:tc>
          <w:tcPr>
            <w:tcW w:type="dxa" w:w="3118"/>
            <w:vAlign w:val="center"/>
            <w:shd w:val="clear" w:color="auto" w:fill="F2F2F2"/>
          </w:tcPr>
          <w:p>
            <w:pPr>
              <w:jc w:val="center"/>
            </w:pPr>
            <w:r>
              <w:rPr>
                <w:sz w:val="20"/>
              </w:rPr>
              <w:t>~84s</w:t>
            </w:r>
          </w:p>
        </w:tc>
      </w:tr>
    </w:tbl>
    <w:p/>
    <w:p>
      <w:pPr>
        <w:pStyle w:val="Heading2"/>
        <w:jc w:val="left"/>
      </w:pPr>
      <w:r>
        <w:rPr>
          <w:color w:val="1F3864"/>
        </w:rPr>
        <w:t>10.2. I-FGSM vs FGSM — Phân tích khoảng cách hiệu quả</w:t>
      </w:r>
    </w:p>
    <w:p>
      <w:pPr>
        <w:spacing w:after="120"/>
        <w:jc w:val="both"/>
      </w:pPr>
      <w:r>
        <w:rPr>
          <w:b w:val="0"/>
          <w:i w:val="0"/>
          <w:sz w:val="22"/>
        </w:rPr>
        <w:t>Kết quả thực nghiệm xác nhận rõ ràng sự vượt trội của I-FGSM so với FGSM:</w:t>
      </w:r>
    </w:p>
    <w:p>
      <w:pPr>
        <w:pStyle w:val="ListBullet"/>
        <w:spacing w:after="80"/>
      </w:pPr>
      <w:r>
        <w:rPr>
          <w:sz w:val="22"/>
        </w:rPr>
        <w:t>Với cùng ε=0.10 trên MNIST: I-FGSM đạt 83.35% ASR, FGSM chỉ đạt 28.99% — khoảng cách 54 pp. Điều này cho thấy việc tính lại gradient tại mỗi bước mang lại lợi ích rất lớn.</w:t>
      </w:r>
    </w:p>
    <w:p>
      <w:pPr>
        <w:pStyle w:val="ListBullet"/>
        <w:spacing w:after="80"/>
      </w:pPr>
      <w:r>
        <w:rPr>
          <w:sz w:val="22"/>
        </w:rPr>
        <w:t>FGSM có trần năng lực cứng (~85–89% ASR): dù tăng ε, một số mẫu vẫn không bị đánh lừa do bước nhảy đơn lẻ không tìm được đúng hướng tấn công.</w:t>
      </w:r>
    </w:p>
    <w:p>
      <w:pPr>
        <w:pStyle w:val="ListBullet"/>
        <w:spacing w:after="80"/>
      </w:pPr>
      <w:r>
        <w:rPr>
          <w:sz w:val="22"/>
        </w:rPr>
        <w:t>I-FGSM không có trần này — với đủ bước và ε hợp lý, có thể đạt ASR tùy ý gần 100%.</w:t>
      </w:r>
    </w:p>
    <w:p>
      <w:pPr>
        <w:pStyle w:val="ListBullet"/>
        <w:spacing w:after="80"/>
      </w:pPr>
      <w:r>
        <w:rPr>
          <w:sz w:val="22"/>
        </w:rPr>
        <w:t>Đánh đổi: I-FGSM chậm hơn FGSM ~43× (T=40 bước). Đây là overhead tất yếu của việc thực hiện 40 lần backward pass.</w:t>
      </w:r>
    </w:p>
    <w:p>
      <w:pPr>
        <w:pStyle w:val="Heading2"/>
        <w:jc w:val="left"/>
      </w:pPr>
      <w:r>
        <w:rPr>
          <w:color w:val="1F3864"/>
        </w:rPr>
        <w:t>10.3. Tại sao CIFAR-10 dễ bị tấn công hơn?</w:t>
      </w:r>
    </w:p>
    <w:p>
      <w:pPr>
        <w:spacing w:after="120"/>
        <w:jc w:val="both"/>
      </w:pPr>
      <w:r>
        <w:rPr>
          <w:b w:val="0"/>
          <w:i w:val="0"/>
          <w:sz w:val="22"/>
        </w:rPr>
        <w:t>Mặc dù CIFAR-10 phức tạp hơn MNIST, mô hình SimpleCNN trên CIFAR-10 bị tấn công thành công dễ hơn nhiều. Nguyên nhân chính:</w:t>
      </w:r>
    </w:p>
    <w:p>
      <w:pPr>
        <w:pStyle w:val="ListBullet"/>
        <w:spacing w:after="80"/>
      </w:pPr>
      <w:r>
        <w:rPr>
          <w:sz w:val="22"/>
        </w:rPr>
        <w:t>Clean accuracy thấp hơn (76% vs 99.45%): mô hình vốn đã ít tự tin hơn về các quyết định phân loại, ranh giới quyết định (decision boundary) gần với dữ liệu hơn.</w:t>
      </w:r>
    </w:p>
    <w:p>
      <w:pPr>
        <w:pStyle w:val="ListBullet"/>
        <w:spacing w:after="80"/>
      </w:pPr>
      <w:r>
        <w:rPr>
          <w:sz w:val="22"/>
        </w:rPr>
        <w:t>Không gian đầu vào phức tạp hơn (3×32×32 = 3,072 chiều vs 1×28×28 = 784 chiều): gradient của hàm mất mát có thể hướng dẫn tấn công hiệu quả hơn trong không gian cao chiều.</w:t>
      </w:r>
    </w:p>
    <w:p>
      <w:pPr>
        <w:pStyle w:val="ListBullet"/>
        <w:spacing w:after="80"/>
      </w:pPr>
      <w:r>
        <w:rPr>
          <w:sz w:val="22"/>
        </w:rPr>
        <w:t>Tính đồng nhất nội lớp thấp hơn: ảnh thực tế của CIFAR-10 có nhiều biến thể hơn, khiến model khó học ranh giới quyết định sắc nét.</w:t>
      </w:r>
    </w:p>
    <w:p>
      <w:pPr>
        <w:pStyle w:val="Heading2"/>
        <w:jc w:val="left"/>
      </w:pPr>
      <w:r>
        <w:rPr>
          <w:color w:val="1F3864"/>
        </w:rPr>
        <w:t>10.4. Phân tích lợi tức giảm dần của số bước T</w:t>
      </w:r>
    </w:p>
    <w:p>
      <w:pPr>
        <w:spacing w:after="120"/>
        <w:jc w:val="both"/>
      </w:pPr>
      <w:r>
        <w:rPr>
          <w:b w:val="0"/>
          <w:i w:val="0"/>
          <w:sz w:val="22"/>
        </w:rPr>
        <w:t>Thực nghiệm 2 cho thấy quy luật lợi tức giảm dần (diminishing returns) rõ ràng khi tăng số bước T:</w:t>
      </w:r>
    </w:p>
    <w:tbl>
      <w:tblPr>
        <w:tblStyle w:val="TableGrid"/>
        <w:tblW w:type="auto" w:w="0"/>
        <w:jc w:val="center"/>
        <w:tblLook w:firstColumn="1" w:firstRow="1" w:lastColumn="0" w:lastRow="0" w:noHBand="0" w:noVBand="1" w:val="04A0"/>
      </w:tblPr>
      <w:tblGrid>
        <w:gridCol w:w="3135"/>
        <w:gridCol w:w="3135"/>
        <w:gridCol w:w="3135"/>
      </w:tblGrid>
      <w:tr>
        <w:tc>
          <w:tcPr>
            <w:tcW w:type="dxa" w:w="2551"/>
            <w:vAlign w:val="center"/>
            <w:shd w:val="clear" w:color="auto" w:fill="1F3864"/>
          </w:tcPr>
          <w:p>
            <w:pPr>
              <w:jc w:val="center"/>
            </w:pPr>
            <w:r>
              <w:rPr>
                <w:b/>
                <w:color w:val="FFFFFF"/>
                <w:sz w:val="20"/>
              </w:rPr>
              <w:t>Khoảng T</w:t>
            </w:r>
          </w:p>
        </w:tc>
        <w:tc>
          <w:tcPr>
            <w:tcW w:type="dxa" w:w="3118"/>
            <w:vAlign w:val="center"/>
            <w:shd w:val="clear" w:color="auto" w:fill="1F3864"/>
          </w:tcPr>
          <w:p>
            <w:pPr>
              <w:jc w:val="center"/>
            </w:pPr>
            <w:r>
              <w:rPr>
                <w:b/>
                <w:color w:val="FFFFFF"/>
                <w:sz w:val="20"/>
              </w:rPr>
              <w:t>Cải thiện ASR (MNIST)</w:t>
            </w:r>
          </w:p>
        </w:tc>
        <w:tc>
          <w:tcPr>
            <w:tcW w:type="dxa" w:w="3118"/>
            <w:vAlign w:val="center"/>
            <w:shd w:val="clear" w:color="auto" w:fill="1F3864"/>
          </w:tcPr>
          <w:p>
            <w:pPr>
              <w:jc w:val="center"/>
            </w:pPr>
            <w:r>
              <w:rPr>
                <w:b/>
                <w:color w:val="FFFFFF"/>
                <w:sz w:val="20"/>
              </w:rPr>
              <w:t>Cải thiện ASR (CIFAR-10)</w:t>
            </w:r>
          </w:p>
        </w:tc>
      </w:tr>
      <w:tr>
        <w:tc>
          <w:tcPr>
            <w:tcW w:type="dxa" w:w="2551"/>
            <w:vAlign w:val="center"/>
            <w:shd w:val="clear" w:color="auto" w:fill="F2F2F2"/>
          </w:tcPr>
          <w:p>
            <w:pPr>
              <w:jc w:val="center"/>
            </w:pPr>
            <w:r>
              <w:rPr>
                <w:sz w:val="20"/>
              </w:rPr>
              <w:t>T=5 → T=10</w:t>
            </w:r>
          </w:p>
        </w:tc>
        <w:tc>
          <w:tcPr>
            <w:tcW w:type="dxa" w:w="3118"/>
            <w:vAlign w:val="center"/>
            <w:shd w:val="clear" w:color="auto" w:fill="F2F2F2"/>
          </w:tcPr>
          <w:p>
            <w:pPr>
              <w:jc w:val="center"/>
            </w:pPr>
            <w:r>
              <w:rPr>
                <w:sz w:val="20"/>
              </w:rPr>
              <w:t>+5.42 pp</w:t>
            </w:r>
          </w:p>
        </w:tc>
        <w:tc>
          <w:tcPr>
            <w:tcW w:type="dxa" w:w="3118"/>
            <w:vAlign w:val="center"/>
            <w:shd w:val="clear" w:color="auto" w:fill="F2F2F2"/>
          </w:tcPr>
          <w:p>
            <w:pPr>
              <w:jc w:val="center"/>
            </w:pPr>
            <w:r>
              <w:rPr>
                <w:sz w:val="20"/>
              </w:rPr>
              <w:t>+0.62 pp</w:t>
            </w:r>
          </w:p>
        </w:tc>
      </w:tr>
      <w:tr>
        <w:tc>
          <w:tcPr>
            <w:tcW w:type="dxa" w:w="2551"/>
            <w:vAlign w:val="center"/>
            <w:shd w:val="clear" w:color="auto" w:fill="FFFFFF"/>
          </w:tcPr>
          <w:p>
            <w:pPr>
              <w:jc w:val="center"/>
            </w:pPr>
            <w:r>
              <w:rPr>
                <w:sz w:val="20"/>
              </w:rPr>
              <w:t>T=10 → T=20</w:t>
            </w:r>
          </w:p>
        </w:tc>
        <w:tc>
          <w:tcPr>
            <w:tcW w:type="dxa" w:w="3118"/>
            <w:vAlign w:val="center"/>
            <w:shd w:val="clear" w:color="auto" w:fill="FFFFFF"/>
          </w:tcPr>
          <w:p>
            <w:pPr>
              <w:jc w:val="center"/>
            </w:pPr>
            <w:r>
              <w:rPr>
                <w:sz w:val="20"/>
              </w:rPr>
              <w:t>+3.06 pp</w:t>
            </w:r>
          </w:p>
        </w:tc>
        <w:tc>
          <w:tcPr>
            <w:tcW w:type="dxa" w:w="3118"/>
            <w:vAlign w:val="center"/>
            <w:shd w:val="clear" w:color="auto" w:fill="FFFFFF"/>
          </w:tcPr>
          <w:p>
            <w:pPr>
              <w:jc w:val="center"/>
            </w:pPr>
            <w:r>
              <w:rPr>
                <w:sz w:val="20"/>
              </w:rPr>
              <w:t>+0.82 pp</w:t>
            </w:r>
          </w:p>
        </w:tc>
      </w:tr>
      <w:tr>
        <w:tc>
          <w:tcPr>
            <w:tcW w:type="dxa" w:w="2551"/>
            <w:vAlign w:val="center"/>
            <w:shd w:val="clear" w:color="auto" w:fill="F2F2F2"/>
          </w:tcPr>
          <w:p>
            <w:pPr>
              <w:jc w:val="center"/>
            </w:pPr>
            <w:r>
              <w:rPr>
                <w:sz w:val="20"/>
              </w:rPr>
              <w:t>T=20 → T=40</w:t>
            </w:r>
          </w:p>
        </w:tc>
        <w:tc>
          <w:tcPr>
            <w:tcW w:type="dxa" w:w="3118"/>
            <w:vAlign w:val="center"/>
            <w:shd w:val="clear" w:color="auto" w:fill="F2F2F2"/>
          </w:tcPr>
          <w:p>
            <w:pPr>
              <w:jc w:val="center"/>
            </w:pPr>
            <w:r>
              <w:rPr>
                <w:sz w:val="20"/>
              </w:rPr>
              <w:t>+1.65 pp</w:t>
            </w:r>
          </w:p>
        </w:tc>
        <w:tc>
          <w:tcPr>
            <w:tcW w:type="dxa" w:w="3118"/>
            <w:vAlign w:val="center"/>
            <w:shd w:val="clear" w:color="auto" w:fill="F2F2F2"/>
          </w:tcPr>
          <w:p>
            <w:pPr>
              <w:jc w:val="center"/>
            </w:pPr>
            <w:r>
              <w:rPr>
                <w:sz w:val="20"/>
              </w:rPr>
              <w:t>+0.10 pp</w:t>
            </w:r>
          </w:p>
        </w:tc>
      </w:tr>
    </w:tbl>
    <w:p/>
    <w:p>
      <w:pPr>
        <w:spacing w:after="120"/>
        <w:jc w:val="both"/>
      </w:pPr>
      <w:r>
        <w:rPr>
          <w:b w:val="0"/>
          <w:i w:val="0"/>
          <w:sz w:val="22"/>
        </w:rPr>
        <w:t>Trong thực tế, lựa chọn T dựa trên đánh đổi giữa hiệu quả tấn công và chi phí tính toán. Với CIFAR-10, T=5 là đủ; với MNIST, T=20 cho hiệu quả gần với T=40 nhưng nhanh gấp 2×.</w:t>
      </w:r>
    </w:p>
    <w:p>
      <w:pPr>
        <w:pStyle w:val="Heading2"/>
        <w:jc w:val="left"/>
      </w:pPr>
      <w:r>
        <w:rPr>
          <w:color w:val="1F3864"/>
        </w:rPr>
        <w:t>10.5. Transferability — Hàm ý an ninh thực tế</w:t>
      </w:r>
    </w:p>
    <w:p>
      <w:pPr>
        <w:spacing w:after="120"/>
        <w:jc w:val="both"/>
      </w:pPr>
      <w:r>
        <w:rPr>
          <w:b w:val="0"/>
          <w:i w:val="0"/>
          <w:sz w:val="22"/>
        </w:rPr>
        <w:t>Kết quả Thực nghiệm 5 mang hàm ý quan trọng về an ninh thực tế:</w:t>
      </w:r>
    </w:p>
    <w:p>
      <w:pPr>
        <w:pStyle w:val="ListBullet"/>
        <w:spacing w:after="80"/>
      </w:pPr>
      <w:r>
        <w:rPr>
          <w:sz w:val="22"/>
        </w:rPr>
        <w:t>Adversarial examples có tính transferability cao (67–90% I-FGSM ASR): attacker có thể tấn công hiệu quả mà không cần biết kiến trúc hay tham số model đích (black-box attack). Đây là mối đe dọa thực tế trong các hệ thống triển khai thực.</w:t>
      </w:r>
    </w:p>
    <w:p>
      <w:pPr>
        <w:pStyle w:val="ListBullet"/>
        <w:spacing w:after="80"/>
      </w:pPr>
      <w:r>
        <w:rPr>
          <w:sz w:val="22"/>
        </w:rPr>
        <w:t>Model mạnh hơn không nhất thiết an toàn hơn: MobileNetV2 có clean accuracy cao nhất (85%) nhưng vẫn bị transfer attack từ SimpleCNN đạt 90.44% ASR.</w:t>
      </w:r>
    </w:p>
    <w:p>
      <w:pPr>
        <w:pStyle w:val="ListBullet"/>
        <w:spacing w:after="80"/>
      </w:pPr>
      <w:r>
        <w:rPr>
          <w:sz w:val="22"/>
        </w:rPr>
        <w:t>Khoảng cách kiến trúc ảnh hưởng đến transferability: MobileNetV2↔ResNet18 có transfer rate thấp nhất (~67%) do sự khác biệt căn bản trong cách xử lý đặc trưng (depthwise conv vs skip connection).</w:t>
      </w:r>
    </w:p>
    <w:p>
      <w:pPr>
        <w:pStyle w:val="ListBullet"/>
        <w:spacing w:after="80"/>
      </w:pPr>
      <w:r>
        <w:rPr>
          <w:sz w:val="22"/>
        </w:rPr>
        <w:t>Defense thực tế phải tính đến cả transfer attack, không chỉ white-box: adversarial training thuần túy trên white-box có thể không đủ bảo vệ khỏi black-box threat.</w:t>
      </w:r>
    </w:p>
    <w:p>
      <w:pPr>
        <w:pStyle w:val="Heading1"/>
        <w:jc w:val="left"/>
      </w:pPr>
      <w:r>
        <w:rPr>
          <w:color w:val="1F3864"/>
        </w:rPr>
        <w:t>11. Adversarial Training — Phòng thủ bằng FGSM-AT</w:t>
      </w:r>
    </w:p>
    <w:p>
      <w:pPr>
        <w:spacing w:after="120"/>
        <w:jc w:val="both"/>
      </w:pPr>
      <w:r>
        <w:rPr>
          <w:b w:val="0"/>
          <w:i w:val="0"/>
          <w:sz w:val="22"/>
        </w:rPr>
        <w:t>Phần này đánh giá hiệu quả của Adversarial Training với FGSM (FGSM-AT) như một phương pháp tăng cường độ bền vững của mô hình. Thay vì chỉ huấn luyện trên ảnh sạch, mỗi batch sử dụng hàm mất mát hỗn hợp kết hợp cả clean loss lẫn adversarial loss:</w:t>
      </w:r>
    </w:p>
    <w:p>
      <w:pPr>
        <w:spacing w:before="80" w:after="80"/>
        <w:jc w:val="center"/>
      </w:pPr>
      <w:r>
        <w:rPr>
          <w:rFonts w:ascii="Courier New" w:hAnsi="Courier New"/>
          <w:b/>
          <w:sz w:val="24"/>
        </w:rPr>
        <w:t>loss = (1 − r) · CE(f(x), y) + r · CE(f(x_adv), y)</w:t>
      </w:r>
    </w:p>
    <w:p>
      <w:pPr>
        <w:spacing w:after="120"/>
        <w:jc w:val="both"/>
      </w:pPr>
      <w:r>
        <w:rPr>
          <w:b w:val="0"/>
          <w:i w:val="0"/>
          <w:sz w:val="22"/>
        </w:rPr>
        <w:t>trong đó r = adv_ratio = 0.5 (tỉ lệ adversarial loss), x_adv được sinh bằng FGSM với ε_train cố định trong suốt quá trình huấn luyện. Phương pháp này giúp model học cách phân loại đúng cả ảnh sạch lẫn ảnh đối kháng.</w:t>
      </w:r>
    </w:p>
    <w:p>
      <w:pPr>
        <w:pStyle w:val="Heading2"/>
        <w:jc w:val="left"/>
      </w:pPr>
      <w:r>
        <w:rPr>
          <w:color w:val="1F3864"/>
        </w:rPr>
        <w:t>11.1. Cấu hình adversarial training</w:t>
      </w:r>
    </w:p>
    <w:tbl>
      <w:tblPr>
        <w:tblStyle w:val="TableGrid"/>
        <w:tblW w:type="auto" w:w="0"/>
        <w:jc w:val="center"/>
        <w:tblLook w:firstColumn="1" w:firstRow="1" w:lastColumn="0" w:lastRow="0" w:noHBand="0" w:noVBand="1" w:val="04A0"/>
      </w:tblPr>
      <w:tblGrid>
        <w:gridCol w:w="3135"/>
        <w:gridCol w:w="3135"/>
        <w:gridCol w:w="3135"/>
      </w:tblGrid>
      <w:tr>
        <w:tc>
          <w:tcPr>
            <w:tcW w:type="dxa" w:w="3118"/>
            <w:vAlign w:val="center"/>
            <w:shd w:val="clear" w:color="auto" w:fill="1F3864"/>
          </w:tcPr>
          <w:p>
            <w:pPr>
              <w:jc w:val="center"/>
            </w:pPr>
            <w:r>
              <w:rPr>
                <w:b/>
                <w:color w:val="FFFFFF"/>
                <w:sz w:val="20"/>
              </w:rPr>
              <w:t>Tham số</w:t>
            </w:r>
          </w:p>
        </w:tc>
        <w:tc>
          <w:tcPr>
            <w:tcW w:type="dxa" w:w="3118"/>
            <w:vAlign w:val="center"/>
            <w:shd w:val="clear" w:color="auto" w:fill="1F3864"/>
          </w:tcPr>
          <w:p>
            <w:pPr>
              <w:jc w:val="center"/>
            </w:pPr>
            <w:r>
              <w:rPr>
                <w:b/>
                <w:color w:val="FFFFFF"/>
                <w:sz w:val="20"/>
              </w:rPr>
              <w:t>MNIST</w:t>
            </w:r>
          </w:p>
        </w:tc>
        <w:tc>
          <w:tcPr>
            <w:tcW w:type="dxa" w:w="3118"/>
            <w:vAlign w:val="center"/>
            <w:shd w:val="clear" w:color="auto" w:fill="1F3864"/>
          </w:tcPr>
          <w:p>
            <w:pPr>
              <w:jc w:val="center"/>
            </w:pPr>
            <w:r>
              <w:rPr>
                <w:b/>
                <w:color w:val="FFFFFF"/>
                <w:sz w:val="20"/>
              </w:rPr>
              <w:t>CIFAR-10</w:t>
            </w:r>
          </w:p>
        </w:tc>
      </w:tr>
      <w:tr>
        <w:tc>
          <w:tcPr>
            <w:tcW w:type="dxa" w:w="3118"/>
            <w:vAlign w:val="center"/>
            <w:shd w:val="clear" w:color="auto" w:fill="F2F2F2"/>
          </w:tcPr>
          <w:p>
            <w:pPr>
              <w:jc w:val="center"/>
            </w:pPr>
            <w:r>
              <w:rPr>
                <w:sz w:val="20"/>
              </w:rPr>
              <w:t>ε_train (FGSM budget)</w:t>
            </w:r>
          </w:p>
        </w:tc>
        <w:tc>
          <w:tcPr>
            <w:tcW w:type="dxa" w:w="3118"/>
            <w:vAlign w:val="center"/>
            <w:shd w:val="clear" w:color="auto" w:fill="F2F2F2"/>
          </w:tcPr>
          <w:p>
            <w:pPr>
              <w:jc w:val="center"/>
            </w:pPr>
            <w:r>
              <w:rPr>
                <w:sz w:val="20"/>
              </w:rPr>
              <w:t>0.30</w:t>
            </w:r>
          </w:p>
        </w:tc>
        <w:tc>
          <w:tcPr>
            <w:tcW w:type="dxa" w:w="3118"/>
            <w:vAlign w:val="center"/>
            <w:shd w:val="clear" w:color="auto" w:fill="F2F2F2"/>
          </w:tcPr>
          <w:p>
            <w:pPr>
              <w:jc w:val="center"/>
            </w:pPr>
            <w:r>
              <w:rPr>
                <w:sz w:val="20"/>
              </w:rPr>
              <w:t>0.10</w:t>
            </w:r>
          </w:p>
        </w:tc>
      </w:tr>
      <w:tr>
        <w:tc>
          <w:tcPr>
            <w:tcW w:type="dxa" w:w="3118"/>
            <w:vAlign w:val="center"/>
            <w:shd w:val="clear" w:color="auto" w:fill="FFFFFF"/>
          </w:tcPr>
          <w:p>
            <w:pPr>
              <w:jc w:val="center"/>
            </w:pPr>
            <w:r>
              <w:rPr>
                <w:sz w:val="20"/>
              </w:rPr>
              <w:t>adv_ratio</w:t>
            </w:r>
          </w:p>
        </w:tc>
        <w:tc>
          <w:tcPr>
            <w:tcW w:type="dxa" w:w="3118"/>
            <w:vAlign w:val="center"/>
            <w:shd w:val="clear" w:color="auto" w:fill="FFFFFF"/>
          </w:tcPr>
          <w:p>
            <w:pPr>
              <w:jc w:val="center"/>
            </w:pPr>
            <w:r>
              <w:rPr>
                <w:sz w:val="20"/>
              </w:rPr>
              <w:t>0.50</w:t>
            </w:r>
          </w:p>
        </w:tc>
        <w:tc>
          <w:tcPr>
            <w:tcW w:type="dxa" w:w="3118"/>
            <w:vAlign w:val="center"/>
            <w:shd w:val="clear" w:color="auto" w:fill="FFFFFF"/>
          </w:tcPr>
          <w:p>
            <w:pPr>
              <w:jc w:val="center"/>
            </w:pPr>
            <w:r>
              <w:rPr>
                <w:sz w:val="20"/>
              </w:rPr>
              <w:t>0.50</w:t>
            </w:r>
          </w:p>
        </w:tc>
      </w:tr>
      <w:tr>
        <w:tc>
          <w:tcPr>
            <w:tcW w:type="dxa" w:w="3118"/>
            <w:vAlign w:val="center"/>
            <w:shd w:val="clear" w:color="auto" w:fill="F2F2F2"/>
          </w:tcPr>
          <w:p>
            <w:pPr>
              <w:jc w:val="center"/>
            </w:pPr>
            <w:r>
              <w:rPr>
                <w:sz w:val="20"/>
              </w:rPr>
              <w:t>Epochs</w:t>
            </w:r>
          </w:p>
        </w:tc>
        <w:tc>
          <w:tcPr>
            <w:tcW w:type="dxa" w:w="3118"/>
            <w:vAlign w:val="center"/>
            <w:shd w:val="clear" w:color="auto" w:fill="F2F2F2"/>
          </w:tcPr>
          <w:p>
            <w:pPr>
              <w:jc w:val="center"/>
            </w:pPr>
            <w:r>
              <w:rPr>
                <w:sz w:val="20"/>
              </w:rPr>
              <w:t>20</w:t>
            </w:r>
          </w:p>
        </w:tc>
        <w:tc>
          <w:tcPr>
            <w:tcW w:type="dxa" w:w="3118"/>
            <w:vAlign w:val="center"/>
            <w:shd w:val="clear" w:color="auto" w:fill="F2F2F2"/>
          </w:tcPr>
          <w:p>
            <w:pPr>
              <w:jc w:val="center"/>
            </w:pPr>
            <w:r>
              <w:rPr>
                <w:sz w:val="20"/>
              </w:rPr>
              <w:t>20</w:t>
            </w:r>
          </w:p>
        </w:tc>
      </w:tr>
      <w:tr>
        <w:tc>
          <w:tcPr>
            <w:tcW w:type="dxa" w:w="3118"/>
            <w:vAlign w:val="center"/>
            <w:shd w:val="clear" w:color="auto" w:fill="FFFFFF"/>
          </w:tcPr>
          <w:p>
            <w:pPr>
              <w:jc w:val="center"/>
            </w:pPr>
            <w:r>
              <w:rPr>
                <w:sz w:val="20"/>
              </w:rPr>
              <w:t>Optimizer</w:t>
            </w:r>
          </w:p>
        </w:tc>
        <w:tc>
          <w:tcPr>
            <w:tcW w:type="dxa" w:w="3118"/>
            <w:vAlign w:val="center"/>
            <w:shd w:val="clear" w:color="auto" w:fill="FFFFFF"/>
          </w:tcPr>
          <w:p>
            <w:pPr>
              <w:jc w:val="center"/>
            </w:pPr>
            <w:r>
              <w:rPr>
                <w:sz w:val="20"/>
              </w:rPr>
              <w:t>Adam (lr=0.001)</w:t>
            </w:r>
          </w:p>
        </w:tc>
        <w:tc>
          <w:tcPr>
            <w:tcW w:type="dxa" w:w="3118"/>
            <w:vAlign w:val="center"/>
            <w:shd w:val="clear" w:color="auto" w:fill="FFFFFF"/>
          </w:tcPr>
          <w:p>
            <w:pPr>
              <w:jc w:val="center"/>
            </w:pPr>
            <w:r>
              <w:rPr>
                <w:sz w:val="20"/>
              </w:rPr>
              <w:t>Adam (lr=0.001)</w:t>
            </w:r>
          </w:p>
        </w:tc>
      </w:tr>
      <w:tr>
        <w:tc>
          <w:tcPr>
            <w:tcW w:type="dxa" w:w="3118"/>
            <w:vAlign w:val="center"/>
            <w:shd w:val="clear" w:color="auto" w:fill="F2F2F2"/>
          </w:tcPr>
          <w:p>
            <w:pPr>
              <w:jc w:val="center"/>
            </w:pPr>
            <w:r>
              <w:rPr>
                <w:sz w:val="20"/>
              </w:rPr>
              <w:t>LR Scheduler</w:t>
            </w:r>
          </w:p>
        </w:tc>
        <w:tc>
          <w:tcPr>
            <w:tcW w:type="dxa" w:w="3118"/>
            <w:vAlign w:val="center"/>
            <w:shd w:val="clear" w:color="auto" w:fill="F2F2F2"/>
          </w:tcPr>
          <w:p>
            <w:pPr>
              <w:jc w:val="center"/>
            </w:pPr>
            <w:r>
              <w:rPr>
                <w:sz w:val="20"/>
              </w:rPr>
              <w:t>StepLR (step=10, γ=0.1)</w:t>
            </w:r>
          </w:p>
        </w:tc>
        <w:tc>
          <w:tcPr>
            <w:tcW w:type="dxa" w:w="3118"/>
            <w:vAlign w:val="center"/>
            <w:shd w:val="clear" w:color="auto" w:fill="F2F2F2"/>
          </w:tcPr>
          <w:p>
            <w:pPr>
              <w:jc w:val="center"/>
            </w:pPr>
            <w:r>
              <w:rPr>
                <w:sz w:val="20"/>
              </w:rPr>
              <w:t>StepLR (step=10, γ=0.1)</w:t>
            </w:r>
          </w:p>
        </w:tc>
      </w:tr>
    </w:tbl>
    <w:p/>
    <w:p>
      <w:pPr>
        <w:pStyle w:val="Heading2"/>
        <w:jc w:val="left"/>
      </w:pPr>
      <w:r>
        <w:rPr>
          <w:color w:val="1F3864"/>
        </w:rPr>
        <w:t>11.2. Kết quả huấn luyện đối kháng</w:t>
      </w:r>
    </w:p>
    <w:p>
      <w:pPr>
        <w:spacing w:after="120"/>
        <w:jc w:val="both"/>
      </w:pPr>
      <w:r>
        <w:rPr>
          <w:b w:val="0"/>
          <w:i w:val="0"/>
          <w:sz w:val="22"/>
        </w:rPr>
        <w:t>Kết quả tốt nhất trên validation set và đánh giá cuối trên test set: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701"/>
            <w:vAlign w:val="center"/>
            <w:shd w:val="clear" w:color="auto" w:fill="1F3864"/>
          </w:tcPr>
          <w:p>
            <w:pPr>
              <w:jc w:val="center"/>
            </w:pPr>
            <w:r>
              <w:rPr>
                <w:b/>
                <w:color w:val="FFFFFF"/>
                <w:sz w:val="20"/>
              </w:rPr>
              <w:t>Dataset</w:t>
            </w:r>
          </w:p>
        </w:tc>
        <w:tc>
          <w:tcPr>
            <w:tcW w:type="dxa" w:w="1984"/>
            <w:vAlign w:val="center"/>
            <w:shd w:val="clear" w:color="auto" w:fill="1F3864"/>
          </w:tcPr>
          <w:p>
            <w:pPr>
              <w:jc w:val="center"/>
            </w:pPr>
            <w:r>
              <w:rPr>
                <w:b/>
                <w:color w:val="FFFFFF"/>
                <w:sz w:val="20"/>
              </w:rPr>
              <w:t>Mô hình</w:t>
            </w:r>
          </w:p>
        </w:tc>
        <w:tc>
          <w:tcPr>
            <w:tcW w:type="dxa" w:w="2551"/>
            <w:vAlign w:val="center"/>
            <w:shd w:val="clear" w:color="auto" w:fill="1F3864"/>
          </w:tcPr>
          <w:p>
            <w:pPr>
              <w:jc w:val="center"/>
            </w:pPr>
            <w:r>
              <w:rPr>
                <w:b/>
                <w:color w:val="FFFFFF"/>
                <w:sz w:val="20"/>
              </w:rPr>
              <w:t>Val Clean Acc tốt nhất</w:t>
            </w:r>
          </w:p>
        </w:tc>
        <w:tc>
          <w:tcPr>
            <w:tcW w:type="dxa" w:w="2268"/>
            <w:vAlign w:val="center"/>
            <w:shd w:val="clear" w:color="auto" w:fill="1F3864"/>
          </w:tcPr>
          <w:p>
            <w:pPr>
              <w:jc w:val="center"/>
            </w:pPr>
            <w:r>
              <w:rPr>
                <w:b/>
                <w:color w:val="FFFFFF"/>
                <w:sz w:val="20"/>
              </w:rPr>
              <w:t>Test Clean Acc</w:t>
            </w:r>
          </w:p>
        </w:tc>
        <w:tc>
          <w:tcPr>
            <w:tcW w:type="dxa" w:w="2835"/>
            <w:vAlign w:val="center"/>
            <w:shd w:val="clear" w:color="auto" w:fill="1F3864"/>
          </w:tcPr>
          <w:p>
            <w:pPr>
              <w:jc w:val="center"/>
            </w:pPr>
            <w:r>
              <w:rPr>
                <w:b/>
                <w:color w:val="FFFFFF"/>
                <w:sz w:val="20"/>
              </w:rPr>
              <w:t>Test Robust Acc (ε_train)</w:t>
            </w:r>
          </w:p>
        </w:tc>
      </w:tr>
      <w:tr>
        <w:tc>
          <w:tcPr>
            <w:tcW w:type="dxa" w:w="1701"/>
            <w:vAlign w:val="center"/>
            <w:shd w:val="clear" w:color="auto" w:fill="F2F2F2"/>
          </w:tcPr>
          <w:p>
            <w:pPr>
              <w:jc w:val="center"/>
            </w:pPr>
            <w:r>
              <w:rPr>
                <w:sz w:val="20"/>
              </w:rPr>
              <w:t>MNIST</w:t>
            </w:r>
          </w:p>
        </w:tc>
        <w:tc>
          <w:tcPr>
            <w:tcW w:type="dxa" w:w="1984"/>
            <w:vAlign w:val="center"/>
            <w:shd w:val="clear" w:color="auto" w:fill="F2F2F2"/>
          </w:tcPr>
          <w:p>
            <w:pPr>
              <w:jc w:val="center"/>
            </w:pPr>
            <w:r>
              <w:rPr>
                <w:sz w:val="20"/>
              </w:rPr>
              <w:t>Standard</w:t>
            </w:r>
          </w:p>
        </w:tc>
        <w:tc>
          <w:tcPr>
            <w:tcW w:type="dxa" w:w="2551"/>
            <w:vAlign w:val="center"/>
            <w:shd w:val="clear" w:color="auto" w:fill="F2F2F2"/>
          </w:tcPr>
          <w:p>
            <w:pPr>
              <w:jc w:val="center"/>
            </w:pPr>
            <w:r>
              <w:rPr>
                <w:sz w:val="20"/>
              </w:rPr>
              <w:t>98.98%</w:t>
            </w:r>
          </w:p>
        </w:tc>
        <w:tc>
          <w:tcPr>
            <w:tcW w:type="dxa" w:w="2268"/>
            <w:vAlign w:val="center"/>
            <w:shd w:val="clear" w:color="auto" w:fill="F2F2F2"/>
          </w:tcPr>
          <w:p>
            <w:pPr>
              <w:jc w:val="center"/>
            </w:pPr>
            <w:r>
              <w:rPr>
                <w:sz w:val="20"/>
              </w:rPr>
              <w:t>99.3%</w:t>
            </w:r>
          </w:p>
        </w:tc>
        <w:tc>
          <w:tcPr>
            <w:tcW w:type="dxa" w:w="2835"/>
            <w:vAlign w:val="center"/>
            <w:shd w:val="clear" w:color="auto" w:fill="F2F2F2"/>
          </w:tcPr>
          <w:p>
            <w:pPr>
              <w:jc w:val="center"/>
            </w:pPr>
            <w:r>
              <w:rPr>
                <w:sz w:val="20"/>
              </w:rPr>
              <w:t>—</w:t>
            </w:r>
          </w:p>
        </w:tc>
      </w:tr>
      <w:tr>
        <w:tc>
          <w:tcPr>
            <w:tcW w:type="dxa" w:w="1701"/>
            <w:vAlign w:val="center"/>
            <w:shd w:val="clear" w:color="auto" w:fill="FFFFFF"/>
          </w:tcPr>
          <w:p>
            <w:pPr>
              <w:jc w:val="center"/>
            </w:pPr>
            <w:r>
              <w:rPr>
                <w:sz w:val="20"/>
              </w:rPr>
              <w:t>MNIST</w:t>
            </w:r>
          </w:p>
        </w:tc>
        <w:tc>
          <w:tcPr>
            <w:tcW w:type="dxa" w:w="1984"/>
            <w:vAlign w:val="center"/>
            <w:shd w:val="clear" w:color="auto" w:fill="FFFFFF"/>
          </w:tcPr>
          <w:p>
            <w:pPr>
              <w:jc w:val="center"/>
            </w:pPr>
            <w:r>
              <w:rPr>
                <w:sz w:val="20"/>
              </w:rPr>
              <w:t>Adversarial</w:t>
            </w:r>
          </w:p>
        </w:tc>
        <w:tc>
          <w:tcPr>
            <w:tcW w:type="dxa" w:w="2551"/>
            <w:vAlign w:val="center"/>
            <w:shd w:val="clear" w:color="auto" w:fill="FFFFFF"/>
          </w:tcPr>
          <w:p>
            <w:pPr>
              <w:jc w:val="center"/>
            </w:pPr>
            <w:r>
              <w:rPr>
                <w:sz w:val="20"/>
              </w:rPr>
              <w:t>98.98%*</w:t>
            </w:r>
          </w:p>
        </w:tc>
        <w:tc>
          <w:tcPr>
            <w:tcW w:type="dxa" w:w="2268"/>
            <w:vAlign w:val="center"/>
            <w:shd w:val="clear" w:color="auto" w:fill="FFFFFF"/>
          </w:tcPr>
          <w:p>
            <w:pPr>
              <w:jc w:val="center"/>
            </w:pPr>
            <w:r>
              <w:rPr>
                <w:sz w:val="20"/>
              </w:rPr>
              <w:t>99.0%</w:t>
            </w:r>
          </w:p>
        </w:tc>
        <w:tc>
          <w:tcPr>
            <w:tcW w:type="dxa" w:w="2835"/>
            <w:vAlign w:val="center"/>
            <w:shd w:val="clear" w:color="auto" w:fill="FFFFFF"/>
          </w:tcPr>
          <w:p>
            <w:pPr>
              <w:jc w:val="center"/>
            </w:pPr>
            <w:r>
              <w:rPr>
                <w:sz w:val="20"/>
              </w:rPr>
              <w:t>92.0% (ε=0.30)</w:t>
            </w:r>
          </w:p>
        </w:tc>
      </w:tr>
      <w:tr>
        <w:tc>
          <w:tcPr>
            <w:tcW w:type="dxa" w:w="1701"/>
            <w:vAlign w:val="center"/>
            <w:shd w:val="clear" w:color="auto" w:fill="F2F2F2"/>
          </w:tcPr>
          <w:p>
            <w:pPr>
              <w:jc w:val="center"/>
            </w:pPr>
            <w:r>
              <w:rPr>
                <w:sz w:val="20"/>
              </w:rPr>
              <w:t>CIFAR-10</w:t>
            </w:r>
          </w:p>
        </w:tc>
        <w:tc>
          <w:tcPr>
            <w:tcW w:type="dxa" w:w="1984"/>
            <w:vAlign w:val="center"/>
            <w:shd w:val="clear" w:color="auto" w:fill="F2F2F2"/>
          </w:tcPr>
          <w:p>
            <w:pPr>
              <w:jc w:val="center"/>
            </w:pPr>
            <w:r>
              <w:rPr>
                <w:sz w:val="20"/>
              </w:rPr>
              <w:t>Standard</w:t>
            </w:r>
          </w:p>
        </w:tc>
        <w:tc>
          <w:tcPr>
            <w:tcW w:type="dxa" w:w="2551"/>
            <w:vAlign w:val="center"/>
            <w:shd w:val="clear" w:color="auto" w:fill="F2F2F2"/>
          </w:tcPr>
          <w:p>
            <w:pPr>
              <w:jc w:val="center"/>
            </w:pPr>
            <w:r>
              <w:rPr>
                <w:sz w:val="20"/>
              </w:rPr>
              <w:t>74.36%</w:t>
            </w:r>
          </w:p>
        </w:tc>
        <w:tc>
          <w:tcPr>
            <w:tcW w:type="dxa" w:w="2268"/>
            <w:vAlign w:val="center"/>
            <w:shd w:val="clear" w:color="auto" w:fill="F2F2F2"/>
          </w:tcPr>
          <w:p>
            <w:pPr>
              <w:jc w:val="center"/>
            </w:pPr>
            <w:r>
              <w:rPr>
                <w:sz w:val="20"/>
              </w:rPr>
              <w:t>76.0%</w:t>
            </w:r>
          </w:p>
        </w:tc>
        <w:tc>
          <w:tcPr>
            <w:tcW w:type="dxa" w:w="2835"/>
            <w:vAlign w:val="center"/>
            <w:shd w:val="clear" w:color="auto" w:fill="F2F2F2"/>
          </w:tcPr>
          <w:p>
            <w:pPr>
              <w:jc w:val="center"/>
            </w:pPr>
            <w:r>
              <w:rPr>
                <w:sz w:val="20"/>
              </w:rPr>
              <w:t>—</w:t>
            </w:r>
          </w:p>
        </w:tc>
      </w:tr>
      <w:tr>
        <w:tc>
          <w:tcPr>
            <w:tcW w:type="dxa" w:w="1701"/>
            <w:vAlign w:val="center"/>
            <w:shd w:val="clear" w:color="auto" w:fill="FFFFFF"/>
          </w:tcPr>
          <w:p>
            <w:pPr>
              <w:jc w:val="center"/>
            </w:pPr>
            <w:r>
              <w:rPr>
                <w:sz w:val="20"/>
              </w:rPr>
              <w:t>CIFAR-10</w:t>
            </w:r>
          </w:p>
        </w:tc>
        <w:tc>
          <w:tcPr>
            <w:tcW w:type="dxa" w:w="1984"/>
            <w:vAlign w:val="center"/>
            <w:shd w:val="clear" w:color="auto" w:fill="FFFFFF"/>
          </w:tcPr>
          <w:p>
            <w:pPr>
              <w:jc w:val="center"/>
            </w:pPr>
            <w:r>
              <w:rPr>
                <w:sz w:val="20"/>
              </w:rPr>
              <w:t>Adversarial</w:t>
            </w:r>
          </w:p>
        </w:tc>
        <w:tc>
          <w:tcPr>
            <w:tcW w:type="dxa" w:w="2551"/>
            <w:vAlign w:val="center"/>
            <w:shd w:val="clear" w:color="auto" w:fill="FFFFFF"/>
          </w:tcPr>
          <w:p>
            <w:pPr>
              <w:jc w:val="center"/>
            </w:pPr>
            <w:r>
              <w:rPr>
                <w:sz w:val="20"/>
              </w:rPr>
              <w:t>68.98%</w:t>
            </w:r>
          </w:p>
        </w:tc>
        <w:tc>
          <w:tcPr>
            <w:tcW w:type="dxa" w:w="2268"/>
            <w:vAlign w:val="center"/>
            <w:shd w:val="clear" w:color="auto" w:fill="FFFFFF"/>
          </w:tcPr>
          <w:p>
            <w:pPr>
              <w:jc w:val="center"/>
            </w:pPr>
            <w:r>
              <w:rPr>
                <w:sz w:val="20"/>
              </w:rPr>
              <w:t>69.9%</w:t>
            </w:r>
          </w:p>
        </w:tc>
        <w:tc>
          <w:tcPr>
            <w:tcW w:type="dxa" w:w="2835"/>
            <w:vAlign w:val="center"/>
            <w:shd w:val="clear" w:color="auto" w:fill="FFFFFF"/>
          </w:tcPr>
          <w:p>
            <w:pPr>
              <w:jc w:val="center"/>
            </w:pPr>
            <w:r>
              <w:rPr>
                <w:sz w:val="20"/>
              </w:rPr>
              <w:t>25.8% (ε=0.10)</w:t>
            </w:r>
          </w:p>
        </w:tc>
      </w:tr>
    </w:tbl>
    <w:p/>
    <w:p>
      <w:pPr>
        <w:spacing w:after="120"/>
        <w:jc w:val="both"/>
      </w:pPr>
      <w:r>
        <w:rPr>
          <w:b w:val="0"/>
          <w:i/>
          <w:color w:val="555555"/>
          <w:sz w:val="20"/>
        </w:rPr>
        <w:t>* MNIST Adversarial model duy trì clean accuracy gần như không đổi (99.0% vs 99.3%), cho thấy với bài toán đơn giản như MNIST, adversarial training hầu như không có accuracy-robustness trade-off. CIFAR-10 Adversarial model giảm 5.4pp clean accuracy (76.0% → 69.9%) — đây là mức trade-off điển hình cho bài toán phức tạp hơn.</w:t>
      </w:r>
    </w:p>
    <w:p>
      <w:pPr>
        <w:spacing w:before="120" w:after="40"/>
        <w:jc w:val="center"/>
      </w:pPr>
      <w:r>
        <w:drawing>
          <wp:inline xmlns:a="http://schemas.openxmlformats.org/drawingml/2006/main" xmlns:pic="http://schemas.openxmlformats.org/drawingml/2006/picture">
            <wp:extent cx="5040000" cy="1884349"/>
            <wp:docPr id="21" name="Picture 21"/>
            <wp:cNvGraphicFramePr>
              <a:graphicFrameLocks noChangeAspect="1"/>
            </wp:cNvGraphicFramePr>
            <a:graphic>
              <a:graphicData uri="http://schemas.openxmlformats.org/drawingml/2006/picture">
                <pic:pic>
                  <pic:nvPicPr>
                    <pic:cNvPr id="0" name="adv_training_history_mnist.png"/>
                    <pic:cNvPicPr/>
                  </pic:nvPicPr>
                  <pic:blipFill>
                    <a:blip r:embed="rId29"/>
                    <a:stretch>
                      <a:fillRect/>
                    </a:stretch>
                  </pic:blipFill>
                  <pic:spPr>
                    <a:xfrm>
                      <a:off x="0" y="0"/>
                      <a:ext cx="5040000" cy="1884349"/>
                    </a:xfrm>
                    <a:prstGeom prst="rect"/>
                  </pic:spPr>
                </pic:pic>
              </a:graphicData>
            </a:graphic>
          </wp:inline>
        </w:drawing>
      </w:r>
    </w:p>
    <w:p>
      <w:pPr>
        <w:spacing w:after="240"/>
        <w:jc w:val="center"/>
      </w:pPr>
      <w:r>
        <w:rPr>
          <w:i/>
          <w:color w:val="555555"/>
          <w:sz w:val="20"/>
        </w:rPr>
        <w:t>Hình 21. MNIST — Lịch sử huấn luyện đối kháng: clean acc và robust acc qua 20 epoch</w:t>
      </w:r>
    </w:p>
    <w:p>
      <w:pPr>
        <w:spacing w:before="120" w:after="40"/>
        <w:jc w:val="center"/>
      </w:pPr>
      <w:r>
        <w:drawing>
          <wp:inline xmlns:a="http://schemas.openxmlformats.org/drawingml/2006/main" xmlns:pic="http://schemas.openxmlformats.org/drawingml/2006/picture">
            <wp:extent cx="5040000" cy="1884349"/>
            <wp:docPr id="22" name="Picture 22"/>
            <wp:cNvGraphicFramePr>
              <a:graphicFrameLocks noChangeAspect="1"/>
            </wp:cNvGraphicFramePr>
            <a:graphic>
              <a:graphicData uri="http://schemas.openxmlformats.org/drawingml/2006/picture">
                <pic:pic>
                  <pic:nvPicPr>
                    <pic:cNvPr id="0" name="adv_training_history_cifar10.png"/>
                    <pic:cNvPicPr/>
                  </pic:nvPicPr>
                  <pic:blipFill>
                    <a:blip r:embed="rId30"/>
                    <a:stretch>
                      <a:fillRect/>
                    </a:stretch>
                  </pic:blipFill>
                  <pic:spPr>
                    <a:xfrm>
                      <a:off x="0" y="0"/>
                      <a:ext cx="5040000" cy="1884349"/>
                    </a:xfrm>
                    <a:prstGeom prst="rect"/>
                  </pic:spPr>
                </pic:pic>
              </a:graphicData>
            </a:graphic>
          </wp:inline>
        </w:drawing>
      </w:r>
    </w:p>
    <w:p>
      <w:pPr>
        <w:spacing w:after="240"/>
        <w:jc w:val="center"/>
      </w:pPr>
      <w:r>
        <w:rPr>
          <w:i/>
          <w:color w:val="555555"/>
          <w:sz w:val="20"/>
        </w:rPr>
        <w:t>Hình 22. CIFAR-10 — Lịch sử huấn luyện đối kháng: clean acc và robust acc qua 20 epoch</w:t>
      </w:r>
    </w:p>
    <w:p>
      <w:pPr>
        <w:pStyle w:val="Heading2"/>
        <w:jc w:val="left"/>
      </w:pPr>
      <w:r>
        <w:rPr>
          <w:color w:val="1F3864"/>
        </w:rPr>
        <w:t>11.3. So sánh Standard vs Adversarial model</w:t>
      </w:r>
    </w:p>
    <w:p>
      <w:pPr>
        <w:spacing w:after="120"/>
        <w:jc w:val="both"/>
      </w:pPr>
      <w:r>
        <w:rPr>
          <w:b w:val="0"/>
          <w:i w:val="0"/>
          <w:sz w:val="22"/>
        </w:rPr>
        <w:t>Đánh giá FGSM ASR trên cả Standard và Adversarial model tại 6 mức epsilon:</w:t>
      </w:r>
    </w:p>
    <w:p>
      <w:pPr>
        <w:spacing w:after="120"/>
        <w:jc w:val="both"/>
      </w:pPr>
      <w:r>
        <w:rPr>
          <w:b/>
          <w:i w:val="0"/>
          <w:color w:val="555555"/>
          <w:sz w:val="20"/>
        </w:rPr>
        <w:t>MNIST — FGSM ASR (%) theo ε:</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417"/>
            <w:vAlign w:val="center"/>
            <w:shd w:val="clear" w:color="auto" w:fill="1F3864"/>
          </w:tcPr>
          <w:p>
            <w:pPr>
              <w:jc w:val="center"/>
            </w:pPr>
            <w:r>
              <w:rPr>
                <w:b/>
                <w:color w:val="FFFFFF"/>
                <w:sz w:val="20"/>
              </w:rPr>
              <w:t>ε</w:t>
            </w:r>
          </w:p>
        </w:tc>
        <w:tc>
          <w:tcPr>
            <w:tcW w:type="dxa" w:w="2835"/>
            <w:vAlign w:val="center"/>
            <w:shd w:val="clear" w:color="auto" w:fill="1F3864"/>
          </w:tcPr>
          <w:p>
            <w:pPr>
              <w:jc w:val="center"/>
            </w:pPr>
            <w:r>
              <w:rPr>
                <w:b/>
                <w:color w:val="FFFFFF"/>
                <w:sz w:val="20"/>
              </w:rPr>
              <w:t>Standard ASR (%)</w:t>
            </w:r>
          </w:p>
        </w:tc>
        <w:tc>
          <w:tcPr>
            <w:tcW w:type="dxa" w:w="3118"/>
            <w:vAlign w:val="center"/>
            <w:shd w:val="clear" w:color="auto" w:fill="1F3864"/>
          </w:tcPr>
          <w:p>
            <w:pPr>
              <w:jc w:val="center"/>
            </w:pPr>
            <w:r>
              <w:rPr>
                <w:b/>
                <w:color w:val="FFFFFF"/>
                <w:sz w:val="20"/>
              </w:rPr>
              <w:t>Adversarial ASR (%)</w:t>
            </w:r>
          </w:p>
        </w:tc>
        <w:tc>
          <w:tcPr>
            <w:tcW w:type="dxa" w:w="2268"/>
            <w:vAlign w:val="center"/>
            <w:shd w:val="clear" w:color="auto" w:fill="1F3864"/>
          </w:tcPr>
          <w:p>
            <w:pPr>
              <w:jc w:val="center"/>
            </w:pPr>
            <w:r>
              <w:rPr>
                <w:b/>
                <w:color w:val="FFFFFF"/>
                <w:sz w:val="20"/>
              </w:rPr>
              <w:t>Giảm (pp)</w:t>
            </w:r>
          </w:p>
        </w:tc>
      </w:tr>
      <w:tr>
        <w:tc>
          <w:tcPr>
            <w:tcW w:type="dxa" w:w="1417"/>
            <w:vAlign w:val="center"/>
            <w:shd w:val="clear" w:color="auto" w:fill="F2F2F2"/>
          </w:tcPr>
          <w:p>
            <w:pPr>
              <w:jc w:val="center"/>
            </w:pPr>
            <w:r>
              <w:rPr>
                <w:sz w:val="20"/>
              </w:rPr>
              <w:t>0.05</w:t>
            </w:r>
          </w:p>
        </w:tc>
        <w:tc>
          <w:tcPr>
            <w:tcW w:type="dxa" w:w="2835"/>
            <w:vAlign w:val="center"/>
            <w:shd w:val="clear" w:color="auto" w:fill="F2F2F2"/>
          </w:tcPr>
          <w:p>
            <w:pPr>
              <w:jc w:val="center"/>
            </w:pPr>
            <w:r>
              <w:rPr>
                <w:sz w:val="20"/>
              </w:rPr>
              <w:t>4.9</w:t>
            </w:r>
          </w:p>
        </w:tc>
        <w:tc>
          <w:tcPr>
            <w:tcW w:type="dxa" w:w="3118"/>
            <w:vAlign w:val="center"/>
            <w:shd w:val="clear" w:color="auto" w:fill="F2F2F2"/>
          </w:tcPr>
          <w:p>
            <w:pPr>
              <w:jc w:val="center"/>
            </w:pPr>
            <w:r>
              <w:rPr>
                <w:sz w:val="20"/>
              </w:rPr>
              <w:t>1.6</w:t>
            </w:r>
          </w:p>
        </w:tc>
        <w:tc>
          <w:tcPr>
            <w:tcW w:type="dxa" w:w="2268"/>
            <w:vAlign w:val="center"/>
            <w:shd w:val="clear" w:color="auto" w:fill="F2F2F2"/>
          </w:tcPr>
          <w:p>
            <w:pPr>
              <w:jc w:val="center"/>
            </w:pPr>
            <w:r>
              <w:rPr>
                <w:sz w:val="20"/>
              </w:rPr>
              <w:t>−3.3</w:t>
            </w:r>
          </w:p>
        </w:tc>
      </w:tr>
      <w:tr>
        <w:tc>
          <w:tcPr>
            <w:tcW w:type="dxa" w:w="1417"/>
            <w:vAlign w:val="center"/>
            <w:shd w:val="clear" w:color="auto" w:fill="FFFFFF"/>
          </w:tcPr>
          <w:p>
            <w:pPr>
              <w:jc w:val="center"/>
            </w:pPr>
            <w:r>
              <w:rPr>
                <w:sz w:val="20"/>
              </w:rPr>
              <w:t>0.10</w:t>
            </w:r>
          </w:p>
        </w:tc>
        <w:tc>
          <w:tcPr>
            <w:tcW w:type="dxa" w:w="2835"/>
            <w:vAlign w:val="center"/>
            <w:shd w:val="clear" w:color="auto" w:fill="FFFFFF"/>
          </w:tcPr>
          <w:p>
            <w:pPr>
              <w:jc w:val="center"/>
            </w:pPr>
            <w:r>
              <w:rPr>
                <w:sz w:val="20"/>
              </w:rPr>
              <w:t>28.5</w:t>
            </w:r>
          </w:p>
        </w:tc>
        <w:tc>
          <w:tcPr>
            <w:tcW w:type="dxa" w:w="3118"/>
            <w:vAlign w:val="center"/>
            <w:shd w:val="clear" w:color="auto" w:fill="FFFFFF"/>
          </w:tcPr>
          <w:p>
            <w:pPr>
              <w:jc w:val="center"/>
            </w:pPr>
            <w:r>
              <w:rPr>
                <w:sz w:val="20"/>
              </w:rPr>
              <w:t>2.5</w:t>
            </w:r>
          </w:p>
        </w:tc>
        <w:tc>
          <w:tcPr>
            <w:tcW w:type="dxa" w:w="2268"/>
            <w:vAlign w:val="center"/>
            <w:shd w:val="clear" w:color="auto" w:fill="FFFFFF"/>
          </w:tcPr>
          <w:p>
            <w:pPr>
              <w:jc w:val="center"/>
            </w:pPr>
            <w:r>
              <w:rPr>
                <w:sz w:val="20"/>
              </w:rPr>
              <w:t>−26.0</w:t>
            </w:r>
          </w:p>
        </w:tc>
      </w:tr>
      <w:tr>
        <w:tc>
          <w:tcPr>
            <w:tcW w:type="dxa" w:w="1417"/>
            <w:vAlign w:val="center"/>
            <w:shd w:val="clear" w:color="auto" w:fill="F2F2F2"/>
          </w:tcPr>
          <w:p>
            <w:pPr>
              <w:jc w:val="center"/>
            </w:pPr>
            <w:r>
              <w:rPr>
                <w:sz w:val="20"/>
              </w:rPr>
              <w:t>0.15</w:t>
            </w:r>
          </w:p>
        </w:tc>
        <w:tc>
          <w:tcPr>
            <w:tcW w:type="dxa" w:w="2835"/>
            <w:vAlign w:val="center"/>
            <w:shd w:val="clear" w:color="auto" w:fill="F2F2F2"/>
          </w:tcPr>
          <w:p>
            <w:pPr>
              <w:jc w:val="center"/>
            </w:pPr>
            <w:r>
              <w:rPr>
                <w:sz w:val="20"/>
              </w:rPr>
              <w:t>57.0</w:t>
            </w:r>
          </w:p>
        </w:tc>
        <w:tc>
          <w:tcPr>
            <w:tcW w:type="dxa" w:w="3118"/>
            <w:vAlign w:val="center"/>
            <w:shd w:val="clear" w:color="auto" w:fill="F2F2F2"/>
          </w:tcPr>
          <w:p>
            <w:pPr>
              <w:jc w:val="center"/>
            </w:pPr>
            <w:r>
              <w:rPr>
                <w:sz w:val="20"/>
              </w:rPr>
              <w:t>3.6</w:t>
            </w:r>
          </w:p>
        </w:tc>
        <w:tc>
          <w:tcPr>
            <w:tcW w:type="dxa" w:w="2268"/>
            <w:vAlign w:val="center"/>
            <w:shd w:val="clear" w:color="auto" w:fill="F2F2F2"/>
          </w:tcPr>
          <w:p>
            <w:pPr>
              <w:jc w:val="center"/>
            </w:pPr>
            <w:r>
              <w:rPr>
                <w:sz w:val="20"/>
              </w:rPr>
              <w:t>−53.4</w:t>
            </w:r>
          </w:p>
        </w:tc>
      </w:tr>
      <w:tr>
        <w:tc>
          <w:tcPr>
            <w:tcW w:type="dxa" w:w="1417"/>
            <w:vAlign w:val="center"/>
            <w:shd w:val="clear" w:color="auto" w:fill="FFFFFF"/>
          </w:tcPr>
          <w:p>
            <w:pPr>
              <w:jc w:val="center"/>
            </w:pPr>
            <w:r>
              <w:rPr>
                <w:sz w:val="20"/>
              </w:rPr>
              <w:t>0.20</w:t>
            </w:r>
          </w:p>
        </w:tc>
        <w:tc>
          <w:tcPr>
            <w:tcW w:type="dxa" w:w="2835"/>
            <w:vAlign w:val="center"/>
            <w:shd w:val="clear" w:color="auto" w:fill="FFFFFF"/>
          </w:tcPr>
          <w:p>
            <w:pPr>
              <w:jc w:val="center"/>
            </w:pPr>
            <w:r>
              <w:rPr>
                <w:sz w:val="20"/>
              </w:rPr>
              <w:t>75.1</w:t>
            </w:r>
          </w:p>
        </w:tc>
        <w:tc>
          <w:tcPr>
            <w:tcW w:type="dxa" w:w="3118"/>
            <w:vAlign w:val="center"/>
            <w:shd w:val="clear" w:color="auto" w:fill="FFFFFF"/>
          </w:tcPr>
          <w:p>
            <w:pPr>
              <w:jc w:val="center"/>
            </w:pPr>
            <w:r>
              <w:rPr>
                <w:sz w:val="20"/>
              </w:rPr>
              <w:t>4.3</w:t>
            </w:r>
          </w:p>
        </w:tc>
        <w:tc>
          <w:tcPr>
            <w:tcW w:type="dxa" w:w="2268"/>
            <w:vAlign w:val="center"/>
            <w:shd w:val="clear" w:color="auto" w:fill="FFFFFF"/>
          </w:tcPr>
          <w:p>
            <w:pPr>
              <w:jc w:val="center"/>
            </w:pPr>
            <w:r>
              <w:rPr>
                <w:sz w:val="20"/>
              </w:rPr>
              <w:t>−70.8</w:t>
            </w:r>
          </w:p>
        </w:tc>
      </w:tr>
      <w:tr>
        <w:tc>
          <w:tcPr>
            <w:tcW w:type="dxa" w:w="1417"/>
            <w:vAlign w:val="center"/>
            <w:shd w:val="clear" w:color="auto" w:fill="F2F2F2"/>
          </w:tcPr>
          <w:p>
            <w:pPr>
              <w:jc w:val="center"/>
            </w:pPr>
            <w:r>
              <w:rPr>
                <w:sz w:val="20"/>
              </w:rPr>
              <w:t>0.25</w:t>
            </w:r>
          </w:p>
        </w:tc>
        <w:tc>
          <w:tcPr>
            <w:tcW w:type="dxa" w:w="2835"/>
            <w:vAlign w:val="center"/>
            <w:shd w:val="clear" w:color="auto" w:fill="F2F2F2"/>
          </w:tcPr>
          <w:p>
            <w:pPr>
              <w:jc w:val="center"/>
            </w:pPr>
            <w:r>
              <w:rPr>
                <w:sz w:val="20"/>
              </w:rPr>
              <w:t>84.3</w:t>
            </w:r>
          </w:p>
        </w:tc>
        <w:tc>
          <w:tcPr>
            <w:tcW w:type="dxa" w:w="3118"/>
            <w:vAlign w:val="center"/>
            <w:shd w:val="clear" w:color="auto" w:fill="F2F2F2"/>
          </w:tcPr>
          <w:p>
            <w:pPr>
              <w:jc w:val="center"/>
            </w:pPr>
            <w:r>
              <w:rPr>
                <w:sz w:val="20"/>
              </w:rPr>
              <w:t>5.4</w:t>
            </w:r>
          </w:p>
        </w:tc>
        <w:tc>
          <w:tcPr>
            <w:tcW w:type="dxa" w:w="2268"/>
            <w:vAlign w:val="center"/>
            <w:shd w:val="clear" w:color="auto" w:fill="F2F2F2"/>
          </w:tcPr>
          <w:p>
            <w:pPr>
              <w:jc w:val="center"/>
            </w:pPr>
            <w:r>
              <w:rPr>
                <w:sz w:val="20"/>
              </w:rPr>
              <w:t>−78.9</w:t>
            </w:r>
          </w:p>
        </w:tc>
      </w:tr>
      <w:tr>
        <w:tc>
          <w:tcPr>
            <w:tcW w:type="dxa" w:w="1417"/>
            <w:vAlign w:val="center"/>
            <w:shd w:val="clear" w:color="auto" w:fill="FFFFFF"/>
          </w:tcPr>
          <w:p>
            <w:pPr>
              <w:jc w:val="center"/>
            </w:pPr>
            <w:r>
              <w:rPr>
                <w:sz w:val="20"/>
              </w:rPr>
              <w:t>0.30</w:t>
            </w:r>
          </w:p>
        </w:tc>
        <w:tc>
          <w:tcPr>
            <w:tcW w:type="dxa" w:w="2835"/>
            <w:vAlign w:val="center"/>
            <w:shd w:val="clear" w:color="auto" w:fill="FFFFFF"/>
          </w:tcPr>
          <w:p>
            <w:pPr>
              <w:jc w:val="center"/>
            </w:pPr>
            <w:r>
              <w:rPr>
                <w:sz w:val="20"/>
              </w:rPr>
              <w:t>89.2</w:t>
            </w:r>
          </w:p>
        </w:tc>
        <w:tc>
          <w:tcPr>
            <w:tcW w:type="dxa" w:w="3118"/>
            <w:vAlign w:val="center"/>
            <w:shd w:val="clear" w:color="auto" w:fill="FFFFFF"/>
          </w:tcPr>
          <w:p>
            <w:pPr>
              <w:jc w:val="center"/>
            </w:pPr>
            <w:r>
              <w:rPr>
                <w:sz w:val="20"/>
              </w:rPr>
              <w:t>7.0</w:t>
            </w:r>
          </w:p>
        </w:tc>
        <w:tc>
          <w:tcPr>
            <w:tcW w:type="dxa" w:w="2268"/>
            <w:vAlign w:val="center"/>
            <w:shd w:val="clear" w:color="auto" w:fill="FFFFFF"/>
          </w:tcPr>
          <w:p>
            <w:pPr>
              <w:jc w:val="center"/>
            </w:pPr>
            <w:r>
              <w:rPr>
                <w:sz w:val="20"/>
              </w:rPr>
              <w:t>−82.2</w:t>
            </w:r>
          </w:p>
        </w:tc>
      </w:tr>
    </w:tbl>
    <w:p/>
    <w:p>
      <w:pPr>
        <w:spacing w:after="120"/>
        <w:jc w:val="both"/>
      </w:pPr>
      <w:r>
        <w:rPr>
          <w:b/>
          <w:i w:val="0"/>
          <w:color w:val="555555"/>
          <w:sz w:val="20"/>
        </w:rPr>
        <w:t>CIFAR-10 — FGSM ASR (%) theo ε:</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417"/>
            <w:vAlign w:val="center"/>
            <w:shd w:val="clear" w:color="auto" w:fill="1F3864"/>
          </w:tcPr>
          <w:p>
            <w:pPr>
              <w:jc w:val="center"/>
            </w:pPr>
            <w:r>
              <w:rPr>
                <w:b/>
                <w:color w:val="FFFFFF"/>
                <w:sz w:val="20"/>
              </w:rPr>
              <w:t>ε</w:t>
            </w:r>
          </w:p>
        </w:tc>
        <w:tc>
          <w:tcPr>
            <w:tcW w:type="dxa" w:w="2835"/>
            <w:vAlign w:val="center"/>
            <w:shd w:val="clear" w:color="auto" w:fill="1F3864"/>
          </w:tcPr>
          <w:p>
            <w:pPr>
              <w:jc w:val="center"/>
            </w:pPr>
            <w:r>
              <w:rPr>
                <w:b/>
                <w:color w:val="FFFFFF"/>
                <w:sz w:val="20"/>
              </w:rPr>
              <w:t>Standard ASR (%)</w:t>
            </w:r>
          </w:p>
        </w:tc>
        <w:tc>
          <w:tcPr>
            <w:tcW w:type="dxa" w:w="3118"/>
            <w:vAlign w:val="center"/>
            <w:shd w:val="clear" w:color="auto" w:fill="1F3864"/>
          </w:tcPr>
          <w:p>
            <w:pPr>
              <w:jc w:val="center"/>
            </w:pPr>
            <w:r>
              <w:rPr>
                <w:b/>
                <w:color w:val="FFFFFF"/>
                <w:sz w:val="20"/>
              </w:rPr>
              <w:t>Adversarial ASR (%)</w:t>
            </w:r>
          </w:p>
        </w:tc>
        <w:tc>
          <w:tcPr>
            <w:tcW w:type="dxa" w:w="2268"/>
            <w:vAlign w:val="center"/>
            <w:shd w:val="clear" w:color="auto" w:fill="1F3864"/>
          </w:tcPr>
          <w:p>
            <w:pPr>
              <w:jc w:val="center"/>
            </w:pPr>
            <w:r>
              <w:rPr>
                <w:b/>
                <w:color w:val="FFFFFF"/>
                <w:sz w:val="20"/>
              </w:rPr>
              <w:t>Giảm (pp)</w:t>
            </w:r>
          </w:p>
        </w:tc>
      </w:tr>
      <w:tr>
        <w:tc>
          <w:tcPr>
            <w:tcW w:type="dxa" w:w="1417"/>
            <w:vAlign w:val="center"/>
            <w:shd w:val="clear" w:color="auto" w:fill="F2F2F2"/>
          </w:tcPr>
          <w:p>
            <w:pPr>
              <w:jc w:val="center"/>
            </w:pPr>
            <w:r>
              <w:rPr>
                <w:sz w:val="20"/>
              </w:rPr>
              <w:t>0.05</w:t>
            </w:r>
          </w:p>
        </w:tc>
        <w:tc>
          <w:tcPr>
            <w:tcW w:type="dxa" w:w="2835"/>
            <w:vAlign w:val="center"/>
            <w:shd w:val="clear" w:color="auto" w:fill="F2F2F2"/>
          </w:tcPr>
          <w:p>
            <w:pPr>
              <w:jc w:val="center"/>
            </w:pPr>
            <w:r>
              <w:rPr>
                <w:sz w:val="20"/>
              </w:rPr>
              <w:t>74.0</w:t>
            </w:r>
          </w:p>
        </w:tc>
        <w:tc>
          <w:tcPr>
            <w:tcW w:type="dxa" w:w="3118"/>
            <w:vAlign w:val="center"/>
            <w:shd w:val="clear" w:color="auto" w:fill="F2F2F2"/>
          </w:tcPr>
          <w:p>
            <w:pPr>
              <w:jc w:val="center"/>
            </w:pPr>
            <w:r>
              <w:rPr>
                <w:sz w:val="20"/>
              </w:rPr>
              <w:t>60.8</w:t>
            </w:r>
          </w:p>
        </w:tc>
        <w:tc>
          <w:tcPr>
            <w:tcW w:type="dxa" w:w="2268"/>
            <w:vAlign w:val="center"/>
            <w:shd w:val="clear" w:color="auto" w:fill="F2F2F2"/>
          </w:tcPr>
          <w:p>
            <w:pPr>
              <w:jc w:val="center"/>
            </w:pPr>
            <w:r>
              <w:rPr>
                <w:sz w:val="20"/>
              </w:rPr>
              <w:t>−13.2</w:t>
            </w:r>
          </w:p>
        </w:tc>
      </w:tr>
      <w:tr>
        <w:tc>
          <w:tcPr>
            <w:tcW w:type="dxa" w:w="1417"/>
            <w:vAlign w:val="center"/>
            <w:shd w:val="clear" w:color="auto" w:fill="FFFFFF"/>
          </w:tcPr>
          <w:p>
            <w:pPr>
              <w:jc w:val="center"/>
            </w:pPr>
            <w:r>
              <w:rPr>
                <w:sz w:val="20"/>
              </w:rPr>
              <w:t>0.10</w:t>
            </w:r>
          </w:p>
        </w:tc>
        <w:tc>
          <w:tcPr>
            <w:tcW w:type="dxa" w:w="2835"/>
            <w:vAlign w:val="center"/>
            <w:shd w:val="clear" w:color="auto" w:fill="FFFFFF"/>
          </w:tcPr>
          <w:p>
            <w:pPr>
              <w:jc w:val="center"/>
            </w:pPr>
            <w:r>
              <w:rPr>
                <w:sz w:val="20"/>
              </w:rPr>
              <w:t>82.2</w:t>
            </w:r>
          </w:p>
        </w:tc>
        <w:tc>
          <w:tcPr>
            <w:tcW w:type="dxa" w:w="3118"/>
            <w:vAlign w:val="center"/>
            <w:shd w:val="clear" w:color="auto" w:fill="FFFFFF"/>
          </w:tcPr>
          <w:p>
            <w:pPr>
              <w:jc w:val="center"/>
            </w:pPr>
            <w:r>
              <w:rPr>
                <w:sz w:val="20"/>
              </w:rPr>
              <w:t>68.8</w:t>
            </w:r>
          </w:p>
        </w:tc>
        <w:tc>
          <w:tcPr>
            <w:tcW w:type="dxa" w:w="2268"/>
            <w:vAlign w:val="center"/>
            <w:shd w:val="clear" w:color="auto" w:fill="FFFFFF"/>
          </w:tcPr>
          <w:p>
            <w:pPr>
              <w:jc w:val="center"/>
            </w:pPr>
            <w:r>
              <w:rPr>
                <w:sz w:val="20"/>
              </w:rPr>
              <w:t>−13.4</w:t>
            </w:r>
          </w:p>
        </w:tc>
      </w:tr>
      <w:tr>
        <w:tc>
          <w:tcPr>
            <w:tcW w:type="dxa" w:w="1417"/>
            <w:vAlign w:val="center"/>
            <w:shd w:val="clear" w:color="auto" w:fill="F2F2F2"/>
          </w:tcPr>
          <w:p>
            <w:pPr>
              <w:jc w:val="center"/>
            </w:pPr>
            <w:r>
              <w:rPr>
                <w:sz w:val="20"/>
              </w:rPr>
              <w:t>0.15</w:t>
            </w:r>
          </w:p>
        </w:tc>
        <w:tc>
          <w:tcPr>
            <w:tcW w:type="dxa" w:w="2835"/>
            <w:vAlign w:val="center"/>
            <w:shd w:val="clear" w:color="auto" w:fill="F2F2F2"/>
          </w:tcPr>
          <w:p>
            <w:pPr>
              <w:jc w:val="center"/>
            </w:pPr>
            <w:r>
              <w:rPr>
                <w:sz w:val="20"/>
              </w:rPr>
              <w:t>85.2</w:t>
            </w:r>
          </w:p>
        </w:tc>
        <w:tc>
          <w:tcPr>
            <w:tcW w:type="dxa" w:w="3118"/>
            <w:vAlign w:val="center"/>
            <w:shd w:val="clear" w:color="auto" w:fill="F2F2F2"/>
          </w:tcPr>
          <w:p>
            <w:pPr>
              <w:jc w:val="center"/>
            </w:pPr>
            <w:r>
              <w:rPr>
                <w:sz w:val="20"/>
              </w:rPr>
              <w:t>74.0</w:t>
            </w:r>
          </w:p>
        </w:tc>
        <w:tc>
          <w:tcPr>
            <w:tcW w:type="dxa" w:w="2268"/>
            <w:vAlign w:val="center"/>
            <w:shd w:val="clear" w:color="auto" w:fill="F2F2F2"/>
          </w:tcPr>
          <w:p>
            <w:pPr>
              <w:jc w:val="center"/>
            </w:pPr>
            <w:r>
              <w:rPr>
                <w:sz w:val="20"/>
              </w:rPr>
              <w:t>−11.2</w:t>
            </w:r>
          </w:p>
        </w:tc>
      </w:tr>
      <w:tr>
        <w:tc>
          <w:tcPr>
            <w:tcW w:type="dxa" w:w="1417"/>
            <w:vAlign w:val="center"/>
            <w:shd w:val="clear" w:color="auto" w:fill="FFFFFF"/>
          </w:tcPr>
          <w:p>
            <w:pPr>
              <w:jc w:val="center"/>
            </w:pPr>
            <w:r>
              <w:rPr>
                <w:sz w:val="20"/>
              </w:rPr>
              <w:t>0.20</w:t>
            </w:r>
          </w:p>
        </w:tc>
        <w:tc>
          <w:tcPr>
            <w:tcW w:type="dxa" w:w="2835"/>
            <w:vAlign w:val="center"/>
            <w:shd w:val="clear" w:color="auto" w:fill="FFFFFF"/>
          </w:tcPr>
          <w:p>
            <w:pPr>
              <w:jc w:val="center"/>
            </w:pPr>
            <w:r>
              <w:rPr>
                <w:sz w:val="20"/>
              </w:rPr>
              <w:t>85.8</w:t>
            </w:r>
          </w:p>
        </w:tc>
        <w:tc>
          <w:tcPr>
            <w:tcW w:type="dxa" w:w="3118"/>
            <w:vAlign w:val="center"/>
            <w:shd w:val="clear" w:color="auto" w:fill="FFFFFF"/>
          </w:tcPr>
          <w:p>
            <w:pPr>
              <w:jc w:val="center"/>
            </w:pPr>
            <w:r>
              <w:rPr>
                <w:sz w:val="20"/>
              </w:rPr>
              <w:t>77.4</w:t>
            </w:r>
          </w:p>
        </w:tc>
        <w:tc>
          <w:tcPr>
            <w:tcW w:type="dxa" w:w="2268"/>
            <w:vAlign w:val="center"/>
            <w:shd w:val="clear" w:color="auto" w:fill="FFFFFF"/>
          </w:tcPr>
          <w:p>
            <w:pPr>
              <w:jc w:val="center"/>
            </w:pPr>
            <w:r>
              <w:rPr>
                <w:sz w:val="20"/>
              </w:rPr>
              <w:t>−8.4</w:t>
            </w:r>
          </w:p>
        </w:tc>
      </w:tr>
      <w:tr>
        <w:tc>
          <w:tcPr>
            <w:tcW w:type="dxa" w:w="1417"/>
            <w:vAlign w:val="center"/>
            <w:shd w:val="clear" w:color="auto" w:fill="F2F2F2"/>
          </w:tcPr>
          <w:p>
            <w:pPr>
              <w:jc w:val="center"/>
            </w:pPr>
            <w:r>
              <w:rPr>
                <w:sz w:val="20"/>
              </w:rPr>
              <w:t>0.25</w:t>
            </w:r>
          </w:p>
        </w:tc>
        <w:tc>
          <w:tcPr>
            <w:tcW w:type="dxa" w:w="2835"/>
            <w:vAlign w:val="center"/>
            <w:shd w:val="clear" w:color="auto" w:fill="F2F2F2"/>
          </w:tcPr>
          <w:p>
            <w:pPr>
              <w:jc w:val="center"/>
            </w:pPr>
            <w:r>
              <w:rPr>
                <w:sz w:val="20"/>
              </w:rPr>
              <w:t>86.4</w:t>
            </w:r>
          </w:p>
        </w:tc>
        <w:tc>
          <w:tcPr>
            <w:tcW w:type="dxa" w:w="3118"/>
            <w:vAlign w:val="center"/>
            <w:shd w:val="clear" w:color="auto" w:fill="F2F2F2"/>
          </w:tcPr>
          <w:p>
            <w:pPr>
              <w:jc w:val="center"/>
            </w:pPr>
            <w:r>
              <w:rPr>
                <w:sz w:val="20"/>
              </w:rPr>
              <w:t>79.8</w:t>
            </w:r>
          </w:p>
        </w:tc>
        <w:tc>
          <w:tcPr>
            <w:tcW w:type="dxa" w:w="2268"/>
            <w:vAlign w:val="center"/>
            <w:shd w:val="clear" w:color="auto" w:fill="F2F2F2"/>
          </w:tcPr>
          <w:p>
            <w:pPr>
              <w:jc w:val="center"/>
            </w:pPr>
            <w:r>
              <w:rPr>
                <w:sz w:val="20"/>
              </w:rPr>
              <w:t>−6.6</w:t>
            </w:r>
          </w:p>
        </w:tc>
      </w:tr>
      <w:tr>
        <w:tc>
          <w:tcPr>
            <w:tcW w:type="dxa" w:w="1417"/>
            <w:vAlign w:val="center"/>
            <w:shd w:val="clear" w:color="auto" w:fill="FFFFFF"/>
          </w:tcPr>
          <w:p>
            <w:pPr>
              <w:jc w:val="center"/>
            </w:pPr>
            <w:r>
              <w:rPr>
                <w:sz w:val="20"/>
              </w:rPr>
              <w:t>0.30</w:t>
            </w:r>
          </w:p>
        </w:tc>
        <w:tc>
          <w:tcPr>
            <w:tcW w:type="dxa" w:w="2835"/>
            <w:vAlign w:val="center"/>
            <w:shd w:val="clear" w:color="auto" w:fill="FFFFFF"/>
          </w:tcPr>
          <w:p>
            <w:pPr>
              <w:jc w:val="center"/>
            </w:pPr>
            <w:r>
              <w:rPr>
                <w:sz w:val="20"/>
              </w:rPr>
              <w:t>86.6</w:t>
            </w:r>
          </w:p>
        </w:tc>
        <w:tc>
          <w:tcPr>
            <w:tcW w:type="dxa" w:w="3118"/>
            <w:vAlign w:val="center"/>
            <w:shd w:val="clear" w:color="auto" w:fill="FFFFFF"/>
          </w:tcPr>
          <w:p>
            <w:pPr>
              <w:jc w:val="center"/>
            </w:pPr>
            <w:r>
              <w:rPr>
                <w:sz w:val="20"/>
              </w:rPr>
              <w:t>80.7</w:t>
            </w:r>
          </w:p>
        </w:tc>
        <w:tc>
          <w:tcPr>
            <w:tcW w:type="dxa" w:w="2268"/>
            <w:vAlign w:val="center"/>
            <w:shd w:val="clear" w:color="auto" w:fill="FFFFFF"/>
          </w:tcPr>
          <w:p>
            <w:pPr>
              <w:jc w:val="center"/>
            </w:pPr>
            <w:r>
              <w:rPr>
                <w:sz w:val="20"/>
              </w:rPr>
              <w:t>−5.9</w:t>
            </w:r>
          </w:p>
        </w:tc>
      </w:tr>
    </w:tbl>
    <w:p/>
    <w:p>
      <w:pPr>
        <w:spacing w:after="120"/>
        <w:jc w:val="both"/>
      </w:pPr>
      <w:r>
        <w:rPr>
          <w:b w:val="0"/>
          <w:i w:val="0"/>
          <w:sz w:val="22"/>
        </w:rPr>
        <w:t>Nhận xét:</w:t>
      </w:r>
    </w:p>
    <w:p>
      <w:pPr>
        <w:pStyle w:val="ListBullet"/>
        <w:spacing w:after="60"/>
      </w:pPr>
      <w:r>
        <w:rPr>
          <w:sz w:val="22"/>
        </w:rPr>
        <w:t>Trên MNIST: Adversarial training cực kỳ hiệu quả — FGSM ASR giảm từ 89.2% xuống chỉ 7.0% tại ε=0.30 (giảm 82.2pp) trong khi clean accuracy gần như không đổi (−0.3pp). Model gần như miễn nhiễm với FGSM sau adversarial training.</w:t>
      </w:r>
    </w:p>
    <w:p>
      <w:pPr>
        <w:pStyle w:val="ListBullet"/>
        <w:spacing w:after="60"/>
      </w:pPr>
      <w:r>
        <w:rPr>
          <w:sz w:val="22"/>
        </w:rPr>
        <w:t>Trên CIFAR-10: hiệu quả phòng thủ có nhưng hạn chế hơn — ASR giảm trung bình ~10pp tại mỗi mức ε, nhưng clean accuracy giảm 5.4pp. Đây là accuracy-robustness trade-off điển hình khi bài toán phức tạp hơn.</w:t>
      </w:r>
    </w:p>
    <w:p>
      <w:pPr>
        <w:pStyle w:val="ListBullet"/>
        <w:spacing w:after="60"/>
      </w:pPr>
      <w:r>
        <w:rPr>
          <w:sz w:val="22"/>
        </w:rPr>
        <w:t>Lý do hiệu quả khác nhau: MNIST đơn giản hơn cho phép model học được cả clean distribution và adversarial perturbation cùng lúc mà không ảnh hưởng đến nhau. CIFAR-10 phức tạp hơn nên model phải 'hy sinh' một phần clean accuracy để đổi lấy robustness.</w:t>
      </w:r>
    </w:p>
    <w:p>
      <w:pPr>
        <w:pStyle w:val="ListBullet"/>
        <w:spacing w:after="60"/>
      </w:pPr>
      <w:r>
        <w:rPr>
          <w:sz w:val="22"/>
        </w:rPr>
        <w:t>Adversarial training trên CIFAR-10 không giải quyết triệt để vấn đề: ASR tại ε=0.30 vẫn còn 80.7% — cho thấy cần kỹ thuật mạnh hơn (PGD-AT, TRADES) hoặc kết hợp với các phương pháp phòng thủ khác.</w:t>
      </w:r>
    </w:p>
    <w:p>
      <w:pPr>
        <w:spacing w:before="120" w:after="40"/>
        <w:jc w:val="center"/>
      </w:pPr>
      <w:r>
        <w:drawing>
          <wp:inline xmlns:a="http://schemas.openxmlformats.org/drawingml/2006/main" xmlns:pic="http://schemas.openxmlformats.org/drawingml/2006/picture">
            <wp:extent cx="5040000" cy="1925217"/>
            <wp:docPr id="23" name="Picture 23"/>
            <wp:cNvGraphicFramePr>
              <a:graphicFrameLocks noChangeAspect="1"/>
            </wp:cNvGraphicFramePr>
            <a:graphic>
              <a:graphicData uri="http://schemas.openxmlformats.org/drawingml/2006/picture">
                <pic:pic>
                  <pic:nvPicPr>
                    <pic:cNvPr id="0" name="adv_robustness_comparison_mnist.png"/>
                    <pic:cNvPicPr/>
                  </pic:nvPicPr>
                  <pic:blipFill>
                    <a:blip r:embed="rId31"/>
                    <a:stretch>
                      <a:fillRect/>
                    </a:stretch>
                  </pic:blipFill>
                  <pic:spPr>
                    <a:xfrm>
                      <a:off x="0" y="0"/>
                      <a:ext cx="5040000" cy="1925217"/>
                    </a:xfrm>
                    <a:prstGeom prst="rect"/>
                  </pic:spPr>
                </pic:pic>
              </a:graphicData>
            </a:graphic>
          </wp:inline>
        </w:drawing>
      </w:r>
    </w:p>
    <w:p>
      <w:pPr>
        <w:spacing w:after="240"/>
        <w:jc w:val="center"/>
      </w:pPr>
      <w:r>
        <w:rPr>
          <w:i/>
          <w:color w:val="555555"/>
          <w:sz w:val="20"/>
        </w:rPr>
        <w:t>Hình 23. MNIST — So sánh FGSM ASR: Standard model (đỏ) vs Adversarial model (xanh) theo ε</w:t>
      </w:r>
    </w:p>
    <w:p>
      <w:pPr>
        <w:spacing w:before="120" w:after="40"/>
        <w:jc w:val="center"/>
      </w:pPr>
      <w:r>
        <w:drawing>
          <wp:inline xmlns:a="http://schemas.openxmlformats.org/drawingml/2006/main" xmlns:pic="http://schemas.openxmlformats.org/drawingml/2006/picture">
            <wp:extent cx="5040000" cy="1925217"/>
            <wp:docPr id="24" name="Picture 24"/>
            <wp:cNvGraphicFramePr>
              <a:graphicFrameLocks noChangeAspect="1"/>
            </wp:cNvGraphicFramePr>
            <a:graphic>
              <a:graphicData uri="http://schemas.openxmlformats.org/drawingml/2006/picture">
                <pic:pic>
                  <pic:nvPicPr>
                    <pic:cNvPr id="0" name="adv_robustness_comparison_cifar10.png"/>
                    <pic:cNvPicPr/>
                  </pic:nvPicPr>
                  <pic:blipFill>
                    <a:blip r:embed="rId32"/>
                    <a:stretch>
                      <a:fillRect/>
                    </a:stretch>
                  </pic:blipFill>
                  <pic:spPr>
                    <a:xfrm>
                      <a:off x="0" y="0"/>
                      <a:ext cx="5040000" cy="1925217"/>
                    </a:xfrm>
                    <a:prstGeom prst="rect"/>
                  </pic:spPr>
                </pic:pic>
              </a:graphicData>
            </a:graphic>
          </wp:inline>
        </w:drawing>
      </w:r>
    </w:p>
    <w:p>
      <w:pPr>
        <w:spacing w:after="240"/>
        <w:jc w:val="center"/>
      </w:pPr>
      <w:r>
        <w:rPr>
          <w:i/>
          <w:color w:val="555555"/>
          <w:sz w:val="20"/>
        </w:rPr>
        <w:t>Hình 24. CIFAR-10 — So sánh FGSM ASR: Standard model (đỏ) vs Adversarial model (xanh) theo ε</w:t>
      </w:r>
    </w:p>
    <w:p>
      <w:pPr>
        <w:pStyle w:val="Heading1"/>
        <w:jc w:val="left"/>
      </w:pPr>
      <w:r>
        <w:rPr>
          <w:color w:val="1F3864"/>
        </w:rPr>
        <w:t>12. Kết luận</w:t>
      </w:r>
    </w:p>
    <w:p>
      <w:pPr>
        <w:spacing w:after="120"/>
        <w:jc w:val="both"/>
      </w:pPr>
      <w:r>
        <w:rPr>
          <w:b w:val="0"/>
          <w:i w:val="0"/>
          <w:sz w:val="22"/>
        </w:rPr>
        <w:t>Thực nghiệm đã trả lời đầy đủ bốn câu hỏi nghiên cứu đặt ra:</w:t>
      </w:r>
    </w:p>
    <w:p>
      <w:pPr>
        <w:pStyle w:val="ListNumber"/>
        <w:spacing w:after="100"/>
      </w:pPr>
      <w:r>
        <w:rPr>
          <w:sz w:val="22"/>
        </w:rPr>
        <w:t>ε ảnh hưởng trực tiếp và mạnh đến hiệu quả tấn công, đặc biệt với I-FGSM. Trên MNIST, ε=0.20 đã đủ để đạt 100% ASR. Trên CIFAR-10, chỉ cần ε=0.05. FGSM có trần năng lực ~85–89% ASR bất kể ε, trong khi I-FGSM không bị giới hạn này.</w:t>
      </w:r>
    </w:p>
    <w:p>
      <w:pPr>
        <w:pStyle w:val="ListNumber"/>
        <w:spacing w:after="100"/>
      </w:pPr>
      <w:r>
        <w:rPr>
          <w:sz w:val="22"/>
        </w:rPr>
        <w:t>Số bước T tuân theo quy luật lợi tức giảm dần. Với MNIST, T=20–40 là vùng hội tụ; với CIFAR-10 T=5 đã đủ. Tăng T từ 20→40 chỉ cải thiện dưới 2 pp trong khi tốn gấp đôi thời gian — điểm cân bằng tối ưu là T=10–20 tùy dataset.</w:t>
      </w:r>
    </w:p>
    <w:p>
      <w:pPr>
        <w:pStyle w:val="ListNumber"/>
        <w:spacing w:after="100"/>
      </w:pPr>
      <w:r>
        <w:rPr>
          <w:sz w:val="22"/>
        </w:rPr>
        <w:t>CIFAR-10 dễ bị tấn công hơn MNIST đáng kể, dù bài toán phân loại khó hơn. Nguyên nhân là clean accuracy thấp hơn dẫn đến ranh giới quyết định yếu hơn. Điều này cho thấy việc cải thiện clean accuracy chưa đủ để đảm bảo robustness.</w:t>
      </w:r>
    </w:p>
    <w:p>
      <w:pPr>
        <w:pStyle w:val="ListNumber"/>
        <w:spacing w:after="100"/>
      </w:pPr>
      <w:r>
        <w:rPr>
          <w:sz w:val="22"/>
        </w:rPr>
        <w:t>Adversarial examples có tính transferability cao giữa các kiến trúc khác nhau (I-FGSM transfer ASR 67–90% tại ε=0.20). Model mạnh hơn không miễn nhiễm với transfer attack; khoảng cách kiến trúc có ảnh hưởng nhưng không loại bỏ được mối đe dọa.</w:t>
      </w:r>
    </w:p>
    <w:p>
      <w:pPr>
        <w:spacing w:after="120"/>
        <w:jc w:val="both"/>
      </w:pPr>
      <w:r>
        <w:rPr>
          <w:b/>
          <w:i w:val="0"/>
          <w:sz w:val="22"/>
        </w:rPr>
        <w:br/>
        <w:t>Hướng phát triển tiếp theo:</w:t>
      </w:r>
    </w:p>
    <w:p>
      <w:pPr>
        <w:pStyle w:val="ListBullet"/>
        <w:spacing w:after="60"/>
      </w:pPr>
      <w:r>
        <w:rPr>
          <w:sz w:val="22"/>
        </w:rPr>
        <w:t>Adversarial training để tăng robustness — huấn luyện với cả ảnh đối kháng nhằm nâng cao khả năng chống chịu, đặc biệt chú ý đến cross-architecture robustness.</w:t>
      </w:r>
    </w:p>
    <w:p>
      <w:pPr>
        <w:pStyle w:val="ListBullet"/>
        <w:spacing w:after="60"/>
      </w:pPr>
      <w:r>
        <w:rPr>
          <w:sz w:val="22"/>
        </w:rPr>
        <w:t>Thử nghiệm các biến thể tấn công mạnh hơn: PGD (random_start=True), MI-FGSM (momentum), DI-FGSM (input diversity) — đặc biệt MI-FGSM được thiết kế để cải thiện transferability.</w:t>
      </w:r>
    </w:p>
    <w:p>
      <w:pPr>
        <w:pStyle w:val="ListBullet"/>
        <w:spacing w:after="60"/>
      </w:pPr>
      <w:r>
        <w:rPr>
          <w:sz w:val="22"/>
        </w:rPr>
        <w:t>Ensemble attack: sinh ảnh đối kháng trên nhiều model cùng lúc để tối đa hóa transfer rate, phù hợp với kịch bản tấn công thực tế black-box.</w:t>
      </w:r>
    </w:p>
    <w:p>
      <w:pPr>
        <w:pStyle w:val="Heading1"/>
        <w:jc w:val="left"/>
      </w:pPr>
      <w:r>
        <w:rPr>
          <w:color w:val="1F3864"/>
        </w:rPr>
        <w:t>Tài liệu tham khảo</w:t>
      </w:r>
    </w:p>
    <w:p>
      <w:pPr>
        <w:spacing w:after="80"/>
        <w:ind w:left="283" w:hanging="283"/>
      </w:pPr>
      <w:r>
        <w:rPr>
          <w:sz w:val="20"/>
        </w:rPr>
        <w:t>[1] Goodfellow, I., Shlens, J., &amp; Szegedy, C. (2015). Explaining and harnessing adversarial examples. ICLR 2015. https://arxiv.org/abs/1412.6572</w:t>
      </w:r>
    </w:p>
    <w:p>
      <w:pPr>
        <w:spacing w:after="80"/>
        <w:ind w:left="283" w:hanging="283"/>
      </w:pPr>
      <w:r>
        <w:rPr>
          <w:sz w:val="20"/>
        </w:rPr>
        <w:t>[2] Kurakin, A., Goodfellow, I., &amp; Bengio, S. (2016). Adversarial examples in the physical world. ICLR Workshop 2017. https://arxiv.org/abs/1607.02533</w:t>
      </w:r>
    </w:p>
    <w:p>
      <w:pPr>
        <w:spacing w:after="80"/>
        <w:ind w:left="283" w:hanging="283"/>
      </w:pPr>
      <w:r>
        <w:rPr>
          <w:sz w:val="20"/>
        </w:rPr>
        <w:t>[3] Madry, A., Makelov, A., Schmidt, L., Tsipras, D., &amp; Vladu, A. (2018). Towards deep learning models resistant to adversarial attacks. ICLR 2018. https://arxiv.org/abs/1706.06083</w:t>
      </w:r>
    </w:p>
    <w:p>
      <w:pPr>
        <w:spacing w:after="80"/>
        <w:ind w:left="283" w:hanging="283"/>
      </w:pPr>
      <w:r>
        <w:rPr>
          <w:sz w:val="20"/>
        </w:rPr>
        <w:t>[4] Dong, Y., et al. (2018). Boosting adversarial attacks with momentum. CVPR 2018. https://arxiv.org/abs/1710.06081</w:t>
      </w:r>
    </w:p>
    <w:p>
      <w:pPr>
        <w:spacing w:after="80"/>
        <w:ind w:left="283" w:hanging="283"/>
      </w:pPr>
      <w:r>
        <w:rPr>
          <w:sz w:val="20"/>
        </w:rPr>
        <w:t>[5] Papernot, N., McDaniel, P., &amp; Goodfellow, I. (2016). Transferability in machine learning: from phenomena to black-box attacks using adversarial samples. arXiv:1605.07277</w:t>
      </w:r>
    </w:p>
    <w:p>
      <w:pPr>
        <w:spacing w:after="80"/>
        <w:ind w:left="283" w:hanging="283"/>
      </w:pPr>
      <w:r>
        <w:rPr>
          <w:sz w:val="20"/>
        </w:rPr>
        <w:t>[6] LeCun, Y., Cortes, C., &amp; Burges, C. (1998). The MNIST database of handwritten digits.</w:t>
      </w:r>
    </w:p>
    <w:p>
      <w:pPr>
        <w:spacing w:after="80"/>
        <w:ind w:left="283" w:hanging="283"/>
      </w:pPr>
      <w:r>
        <w:rPr>
          <w:sz w:val="20"/>
        </w:rPr>
        <w:t>[7] Krizhevsky, A. (2009). Learning multiple layers of features from tiny images. Technical Report.</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