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right"/>
      </w:pPr>
      <w:r>
        <w:rPr>
          <w:rFonts w:ascii="Arial" w:cs="Arial" w:eastAsia="Arial" w:hAnsi="Arial"/>
          <w:b/>
          <w:bCs/>
          <w:color w:val="5B2A86"/>
          <w:sz w:val="20"/>
          <w:szCs w:val="20"/>
        </w:rPr>
        <w:t xml:space="preserve">CONFIDENTIAL</w:t>
      </w:r>
    </w:p>
    <w:p>
      <w:pPr>
        <w:spacing w:after="120"/>
      </w:pPr>
      <w:r>
        <w:rPr>
          <w:rFonts w:ascii="Arial" w:cs="Arial" w:eastAsia="Arial" w:hAnsi="Arial"/>
          <w:b/>
          <w:bCs/>
          <w:color w:val="5B2A86"/>
          <w:spacing w:val="40"/>
          <w:sz w:val="40"/>
          <w:szCs w:val="40"/>
        </w:rPr>
        <w:t xml:space="preserve">DENTONS KMN</w:t>
      </w:r>
    </w:p>
    <w:p>
      <w:pPr>
        <w:spacing w:after="1400"/>
      </w:pPr>
      <w:r>
        <w:rPr>
          <w:rFonts w:ascii="Arial" w:cs="Arial" w:eastAsia="Arial" w:hAnsi="Arial"/>
          <w:color w:val="595959"/>
          <w:sz w:val="22"/>
          <w:szCs w:val="22"/>
        </w:rPr>
        <w:t xml:space="preserve">A member of the Dentons global network</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5B2A86" w:color="auto" w:val="clear"/>
            <w:tcMar>
              <w:top w:type="dxa" w:w="500"/>
              <w:left w:type="dxa" w:w="500"/>
              <w:bottom w:type="dxa" w:w="500"/>
              <w:right w:type="dxa" w:w="500"/>
            </w:tcMar>
          </w:tcPr>
          <w:p>
            <w:pPr>
              <w:spacing w:after="200"/>
            </w:pPr>
            <w:r>
              <w:rPr>
                <w:rFonts w:ascii="Arial" w:cs="Arial" w:eastAsia="Arial" w:hAnsi="Arial"/>
                <w:b/>
                <w:bCs/>
                <w:color w:val="FFFFFF"/>
                <w:sz w:val="22"/>
                <w:szCs w:val="22"/>
              </w:rPr>
              <w:t xml:space="preserve">RESPONSE TO REQUEST FOR PROPOSAL</w:t>
            </w:r>
          </w:p>
          <w:p>
            <w:pPr>
              <w:spacing w:after="80"/>
            </w:pPr>
            <w:r>
              <w:rPr>
                <w:rFonts w:ascii="Arial" w:cs="Arial" w:eastAsia="Arial" w:hAnsi="Arial"/>
                <w:b/>
                <w:bCs/>
                <w:color w:val="FFFFFF"/>
                <w:sz w:val="56"/>
                <w:szCs w:val="56"/>
              </w:rPr>
              <w:t xml:space="preserve">Product and Technology</w:t>
            </w:r>
          </w:p>
          <w:p>
            <w:pPr>
              <w:spacing w:after="300"/>
            </w:pPr>
            <w:r>
              <w:rPr>
                <w:rFonts w:ascii="Arial" w:cs="Arial" w:eastAsia="Arial" w:hAnsi="Arial"/>
                <w:b/>
                <w:bCs/>
                <w:color w:val="FFFFFF"/>
                <w:sz w:val="56"/>
                <w:szCs w:val="56"/>
              </w:rPr>
              <w:t xml:space="preserve">Legal Services</w:t>
            </w:r>
          </w:p>
          <w:p>
            <w:pPr>
              <w:spacing w:after="60"/>
            </w:pPr>
            <w:r>
              <w:rPr>
                <w:rFonts w:ascii="Arial" w:cs="Arial" w:eastAsia="Arial" w:hAnsi="Arial"/>
                <w:color w:val="FFFFFF"/>
                <w:sz w:val="24"/>
                <w:szCs w:val="24"/>
              </w:rPr>
              <w:t xml:space="preserve">Prepared for Netflix, Inc. – Legal Operations</w:t>
            </w:r>
          </w:p>
          <w:p>
            <w:pPr>
              <w:spacing w:after="60"/>
            </w:pPr>
            <w:r>
              <w:rPr>
                <w:rFonts w:ascii="Arial" w:cs="Arial" w:eastAsia="Arial" w:hAnsi="Arial"/>
                <w:color w:val="FFFFFF"/>
                <w:sz w:val="24"/>
                <w:szCs w:val="24"/>
              </w:rPr>
              <w:t xml:space="preserve">Submitted by Dentons KMN</w:t>
            </w:r>
          </w:p>
          <w:p>
            <w:r>
              <w:rPr>
                <w:rFonts w:ascii="Arial" w:cs="Arial" w:eastAsia="Arial" w:hAnsi="Arial"/>
                <w:color w:val="FFFFFF"/>
                <w:sz w:val="24"/>
                <w:szCs w:val="24"/>
              </w:rPr>
              <w:t xml:space="preserve">14 September 2026</w:t>
            </w:r>
          </w:p>
        </w:tc>
      </w:tr>
    </w:tbl>
    <w:p>
      <w:pPr>
        <w:spacing w:after="180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cantSplit/>
        </w:trPr>
        <w:tc>
          <w:tcPr>
            <w:tcW w:type="dxa" w:w="2800"/>
            <w:shd w:fill="EFE9F5" w:color="auto" w:val="clear"/>
            <w:tcMar>
              <w:top w:type="dxa" w:w="70"/>
              <w:left w:type="dxa" w:w="110"/>
              <w:bottom w:type="dxa" w:w="70"/>
              <w:right w:type="dxa" w:w="110"/>
            </w:tcMar>
            <w:vAlign w:val="top"/>
          </w:tcPr>
          <w:p>
            <w:pPr>
              <w:spacing w:after="40" w:line="252"/>
              <w:jc w:val="left"/>
            </w:pPr>
            <w:r>
              <w:rPr>
                <w:rFonts w:ascii="Arial" w:cs="Arial" w:eastAsia="Arial" w:hAnsi="Arial"/>
                <w:b/>
                <w:bCs/>
                <w:sz w:val="19"/>
                <w:szCs w:val="19"/>
              </w:rPr>
              <w:t xml:space="preserve">RFP</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 – Product and Technology (issued 31 August 2026)</w:t>
            </w:r>
          </w:p>
        </w:tc>
      </w:tr>
      <w:tr>
        <w:trPr>
          <w:cantSplit/>
        </w:trPr>
        <w:tc>
          <w:tcPr>
            <w:tcW w:type="dxa" w:w="2800"/>
            <w:shd w:fill="EFE9F5" w:color="auto" w:val="clear"/>
            <w:tcMar>
              <w:top w:type="dxa" w:w="70"/>
              <w:left w:type="dxa" w:w="110"/>
              <w:bottom w:type="dxa" w:w="70"/>
              <w:right w:type="dxa" w:w="110"/>
            </w:tcMar>
            <w:vAlign w:val="top"/>
          </w:tcPr>
          <w:p>
            <w:pPr>
              <w:spacing w:after="40" w:line="252"/>
              <w:jc w:val="left"/>
            </w:pPr>
            <w:r>
              <w:rPr>
                <w:rFonts w:ascii="Arial" w:cs="Arial" w:eastAsia="Arial" w:hAnsi="Arial"/>
                <w:b/>
                <w:bCs/>
                <w:sz w:val="19"/>
                <w:szCs w:val="19"/>
              </w:rPr>
              <w:t xml:space="preserve">Submission deadline</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14 September 2026</w:t>
            </w:r>
          </w:p>
        </w:tc>
      </w:tr>
      <w:tr>
        <w:trPr>
          <w:cantSplit/>
        </w:trPr>
        <w:tc>
          <w:tcPr>
            <w:tcW w:type="dxa" w:w="2800"/>
            <w:shd w:fill="EFE9F5" w:color="auto" w:val="clear"/>
            <w:tcMar>
              <w:top w:type="dxa" w:w="70"/>
              <w:left w:type="dxa" w:w="110"/>
              <w:bottom w:type="dxa" w:w="70"/>
              <w:right w:type="dxa" w:w="110"/>
            </w:tcMar>
            <w:vAlign w:val="top"/>
          </w:tcPr>
          <w:p>
            <w:pPr>
              <w:spacing w:after="40" w:line="252"/>
              <w:jc w:val="left"/>
            </w:pPr>
            <w:r>
              <w:rPr>
                <w:rFonts w:ascii="Arial" w:cs="Arial" w:eastAsia="Arial" w:hAnsi="Arial"/>
                <w:b/>
                <w:bCs/>
                <w:sz w:val="19"/>
                <w:szCs w:val="19"/>
              </w:rPr>
              <w:t xml:space="preserve">Submitted to</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 Legal Operations – legalops-ebilling@netflix.com</w:t>
            </w:r>
          </w:p>
        </w:tc>
      </w:tr>
      <w:tr>
        <w:trPr>
          <w:cantSplit/>
        </w:trPr>
        <w:tc>
          <w:tcPr>
            <w:tcW w:type="dxa" w:w="2800"/>
            <w:shd w:fill="EFE9F5" w:color="auto" w:val="clear"/>
            <w:tcMar>
              <w:top w:type="dxa" w:w="70"/>
              <w:left w:type="dxa" w:w="110"/>
              <w:bottom w:type="dxa" w:w="70"/>
              <w:right w:type="dxa" w:w="110"/>
            </w:tcMar>
            <w:vAlign w:val="top"/>
          </w:tcPr>
          <w:p>
            <w:pPr>
              <w:spacing w:after="40" w:line="252"/>
              <w:jc w:val="left"/>
            </w:pPr>
            <w:r>
              <w:rPr>
                <w:rFonts w:ascii="Arial" w:cs="Arial" w:eastAsia="Arial" w:hAnsi="Arial"/>
                <w:b/>
                <w:bCs/>
                <w:sz w:val="19"/>
                <w:szCs w:val="19"/>
              </w:rPr>
              <w:t xml:space="preserve">Relationship Partner</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[Relationship Partner name]</w:t>
            </w:r>
            <w:r>
              <w:rPr>
                <w:rFonts w:ascii="Arial" w:cs="Arial" w:eastAsia="Arial" w:hAnsi="Arial"/>
                <w:sz w:val="19"/>
                <w:szCs w:val="19"/>
              </w:rPr>
              <w:t xml:space="preserve"> · </w:t>
            </w:r>
            <w:r>
              <w:rPr>
                <w:rFonts w:ascii="Arial" w:cs="Arial" w:eastAsia="Arial" w:hAnsi="Arial"/>
                <w:sz w:val="19"/>
                <w:szCs w:val="19"/>
                <w:shd w:fill="FFF200" w:color="auto" w:val="clear"/>
              </w:rPr>
              <w:t xml:space="preserve">[email@dentons.com]</w:t>
            </w:r>
            <w:r>
              <w:rPr>
                <w:rFonts w:ascii="Arial" w:cs="Arial" w:eastAsia="Arial" w:hAnsi="Arial"/>
                <w:sz w:val="19"/>
                <w:szCs w:val="19"/>
              </w:rPr>
              <w:t xml:space="preserve"> · </w:t>
            </w:r>
            <w:r>
              <w:rPr>
                <w:rFonts w:ascii="Arial" w:cs="Arial" w:eastAsia="Arial" w:hAnsi="Arial"/>
                <w:sz w:val="19"/>
                <w:szCs w:val="19"/>
                <w:shd w:fill="FFF200" w:color="auto" w:val="clear"/>
              </w:rPr>
              <w:t xml:space="preserve">[+00 000 000 0000]</w:t>
            </w:r>
          </w:p>
        </w:tc>
      </w:tr>
      <w:tr>
        <w:trPr>
          <w:cantSplit/>
        </w:trPr>
        <w:tc>
          <w:tcPr>
            <w:tcW w:type="dxa" w:w="2800"/>
            <w:shd w:fill="EFE9F5" w:color="auto" w:val="clear"/>
            <w:tcMar>
              <w:top w:type="dxa" w:w="70"/>
              <w:left w:type="dxa" w:w="110"/>
              <w:bottom w:type="dxa" w:w="70"/>
              <w:right w:type="dxa" w:w="110"/>
            </w:tcMar>
            <w:vAlign w:val="top"/>
          </w:tcPr>
          <w:p>
            <w:pPr>
              <w:spacing w:after="40" w:line="252"/>
              <w:jc w:val="left"/>
            </w:pPr>
            <w:r>
              <w:rPr>
                <w:rFonts w:ascii="Arial" w:cs="Arial" w:eastAsia="Arial" w:hAnsi="Arial"/>
                <w:b/>
                <w:bCs/>
                <w:sz w:val="19"/>
                <w:szCs w:val="19"/>
              </w:rPr>
              <w:t xml:space="preserve">Validity of proposal</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120 days from the submission date</w:t>
            </w:r>
          </w:p>
        </w:tc>
      </w:tr>
    </w:tbl>
    <w:p>
      <w:pPr>
        <w:spacing w:after="400"/>
      </w:pPr>
    </w:p>
    <w:p>
      <w:pPr>
        <w:spacing w:after="140" w:line="276"/>
        <w:jc w:val="left"/>
      </w:pPr>
      <w:r>
        <w:rPr>
          <w:rFonts w:ascii="Arial" w:cs="Arial" w:eastAsia="Arial" w:hAnsi="Arial"/>
          <w:color w:val="595959"/>
          <w:sz w:val="17"/>
          <w:szCs w:val="17"/>
        </w:rPr>
        <w:t xml:space="preserve">This proposal contains confidential and proprietary information of Dentons KMN and is submitted solely for the purpose of Netflix's evaluation of this RFP. It is not to be disclosed outside Netflix without our prior written consent. No part of this document constitutes a public statement about any representation of Netflix.</w:t>
      </w:r>
    </w:p>
    <w:p>
      <w:pPr>
        <w:sectPr>
          <w:pgSz w:w="12240" w:h="15840" w:orient="portrait"/>
          <w:pgMar w:top="1440" w:right="1440" w:bottom="1300" w:left="1440" w:header="708" w:footer="708" w:gutter="0"/>
          <w:pgNumType/>
          <w:titlePg/>
          <w:docGrid w:linePitch="360"/>
        </w:sectPr>
      </w:pPr>
    </w:p>
    <w:p>
      <w:pPr>
        <w:spacing w:after="140" w:line="276"/>
        <w:jc w:val="left"/>
      </w:pPr>
      <w:r>
        <w:rPr>
          <w:rFonts w:ascii="Arial" w:cs="Arial" w:eastAsia="Arial" w:hAnsi="Arial"/>
          <w:sz w:val="21"/>
          <w:szCs w:val="21"/>
        </w:rPr>
        <w:t xml:space="preserve">14 September 2026</w:t>
      </w:r>
    </w:p>
    <w:p>
      <w:pPr>
        <w:spacing w:after="60"/>
      </w:pPr>
    </w:p>
    <w:p>
      <w:pPr>
        <w:spacing w:after="140" w:line="276"/>
        <w:jc w:val="left"/>
      </w:pPr>
      <w:r>
        <w:rPr>
          <w:rFonts w:ascii="Arial" w:cs="Arial" w:eastAsia="Arial" w:hAnsi="Arial"/>
          <w:b/>
          <w:bCs/>
          <w:sz w:val="21"/>
          <w:szCs w:val="21"/>
        </w:rPr>
        <w:t xml:space="preserve">Netflix, Inc.</w:t>
      </w:r>
    </w:p>
    <w:p>
      <w:pPr>
        <w:spacing w:after="140" w:line="276"/>
        <w:jc w:val="left"/>
      </w:pPr>
      <w:r>
        <w:rPr>
          <w:rFonts w:ascii="Arial" w:cs="Arial" w:eastAsia="Arial" w:hAnsi="Arial"/>
          <w:sz w:val="21"/>
          <w:szCs w:val="21"/>
        </w:rPr>
        <w:t xml:space="preserve">Legal Operations</w:t>
      </w:r>
    </w:p>
    <w:p>
      <w:pPr>
        <w:spacing w:after="140" w:line="276"/>
        <w:jc w:val="left"/>
      </w:pPr>
      <w:r>
        <w:rPr>
          <w:rFonts w:ascii="Arial" w:cs="Arial" w:eastAsia="Arial" w:hAnsi="Arial"/>
          <w:sz w:val="21"/>
          <w:szCs w:val="21"/>
        </w:rPr>
        <w:t xml:space="preserve">By email: legalops-ebilling@netflix.com</w:t>
      </w:r>
    </w:p>
    <w:p>
      <w:pPr>
        <w:spacing w:after="120"/>
      </w:pPr>
    </w:p>
    <w:p>
      <w:pPr>
        <w:spacing w:after="140" w:line="276"/>
        <w:jc w:val="left"/>
      </w:pPr>
      <w:r>
        <w:rPr>
          <w:rFonts w:ascii="Arial" w:cs="Arial" w:eastAsia="Arial" w:hAnsi="Arial"/>
          <w:b/>
          <w:bCs/>
          <w:sz w:val="21"/>
          <w:szCs w:val="21"/>
        </w:rPr>
        <w:t xml:space="preserve">Re: Response to Request for Proposal – Product and Technology Legal Services</w:t>
      </w:r>
    </w:p>
    <w:p>
      <w:pPr>
        <w:spacing w:after="60"/>
      </w:pPr>
    </w:p>
    <w:p>
      <w:pPr>
        <w:spacing w:after="140" w:line="276"/>
        <w:jc w:val="left"/>
      </w:pPr>
      <w:r>
        <w:rPr>
          <w:rFonts w:ascii="Arial" w:cs="Arial" w:eastAsia="Arial" w:hAnsi="Arial"/>
          <w:sz w:val="21"/>
          <w:szCs w:val="21"/>
        </w:rPr>
        <w:t xml:space="preserve">Dear Netflix Legal Operations team,</w:t>
      </w:r>
    </w:p>
    <w:p>
      <w:pPr>
        <w:spacing w:after="140" w:line="276"/>
        <w:jc w:val="left"/>
      </w:pPr>
      <w:r>
        <w:rPr>
          <w:rFonts w:ascii="Arial" w:cs="Arial" w:eastAsia="Arial" w:hAnsi="Arial"/>
          <w:sz w:val="21"/>
          <w:szCs w:val="21"/>
        </w:rPr>
        <w:t xml:space="preserve">Thank you for inviting Dentons KMN to respond to your Request for Proposal for Product and Technology legal services. We are pleased to submit this proposal together with the completed RFP spreadsheet, which contains our individualized responses to every question in the questionnaire, our proposed team, rate card and fee options, and our attestations against the 2026 Outside Counsel Guidelines and the Outside Counsel Security Addendum &amp; AI Guidelines.</w:t>
      </w:r>
    </w:p>
    <w:p>
      <w:pPr>
        <w:spacing w:after="140" w:line="276"/>
        <w:jc w:val="left"/>
      </w:pPr>
      <w:r>
        <w:rPr>
          <w:rFonts w:ascii="Arial" w:cs="Arial" w:eastAsia="Arial" w:hAnsi="Arial"/>
          <w:sz w:val="21"/>
          <w:szCs w:val="21"/>
        </w:rPr>
        <w:t xml:space="preserve">Netflix entertains more than 300 million members in over 190 countries. Doing that lawfully, and at Netflix's pace, requires counsel who understand how product decisions actually get made: in weekly release cycles, across dozens of legal systems at once, and with a low tolerance for advice that is long on caveats and short on answers. That is the service we have built this proposal around.</w:t>
      </w:r>
    </w:p>
    <w:p>
      <w:pPr>
        <w:spacing w:after="140" w:line="276"/>
        <w:jc w:val="left"/>
      </w:pPr>
      <w:r>
        <w:rPr>
          <w:rFonts w:ascii="Arial" w:cs="Arial" w:eastAsia="Arial" w:hAnsi="Arial"/>
          <w:sz w:val="21"/>
          <w:szCs w:val="21"/>
        </w:rPr>
        <w:t xml:space="preserve">Five commitments sit at the heart of our offer:</w:t>
      </w:r>
    </w:p>
    <w:p>
      <w:pPr>
        <w:pStyle w:val="ListParagraph"/>
        <w:numPr>
          <w:ilvl w:val="0"/>
          <w:numId w:val="2"/>
        </w:numPr>
        <w:spacing w:after="80" w:line="264"/>
      </w:pPr>
      <w:r>
        <w:rPr>
          <w:rFonts w:ascii="Arial" w:cs="Arial" w:eastAsia="Arial" w:hAnsi="Arial"/>
          <w:b/>
          <w:bCs/>
          <w:sz w:val="21"/>
          <w:szCs w:val="21"/>
        </w:rPr>
        <w:t xml:space="preserve">One team, one standard, everywhere.</w:t>
      </w:r>
      <w:r>
        <w:rPr>
          <w:rFonts w:ascii="Arial" w:cs="Arial" w:eastAsia="Arial" w:hAnsi="Arial"/>
          <w:sz w:val="21"/>
          <w:szCs w:val="21"/>
        </w:rPr>
        <w:t xml:space="preserve"> A single Relationship Partner accountable for the whole engagement, with named leads for privacy, consumer protection and marketing, patents, product contracts and regulatory inquiries, drawing on the Dentons global network for local law input in every market where Netflix operates.</w:t>
      </w:r>
    </w:p>
    <w:p>
      <w:pPr>
        <w:pStyle w:val="ListParagraph"/>
        <w:numPr>
          <w:ilvl w:val="0"/>
          <w:numId w:val="2"/>
        </w:numPr>
        <w:spacing w:after="80" w:line="264"/>
      </w:pPr>
      <w:r>
        <w:rPr>
          <w:rFonts w:ascii="Arial" w:cs="Arial" w:eastAsia="Arial" w:hAnsi="Arial"/>
          <w:b/>
          <w:bCs/>
          <w:sz w:val="21"/>
          <w:szCs w:val="21"/>
        </w:rPr>
        <w:t xml:space="preserve">Answers, not memos.</w:t>
      </w:r>
      <w:r>
        <w:rPr>
          <w:rFonts w:ascii="Arial" w:cs="Arial" w:eastAsia="Arial" w:hAnsi="Arial"/>
          <w:sz w:val="21"/>
          <w:szCs w:val="21"/>
        </w:rPr>
        <w:t xml:space="preserve"> Practical, business-focused advice delivered in the format Netflix product, marketing and engineering teams can use directly, with a clear recommendation and a risk rating, and with acknowledgement of urgent requests within two business hours.</w:t>
      </w:r>
    </w:p>
    <w:p>
      <w:pPr>
        <w:pStyle w:val="ListParagraph"/>
        <w:numPr>
          <w:ilvl w:val="0"/>
          <w:numId w:val="2"/>
        </w:numPr>
        <w:spacing w:after="80" w:line="264"/>
      </w:pPr>
      <w:r>
        <w:rPr>
          <w:rFonts w:ascii="Arial" w:cs="Arial" w:eastAsia="Arial" w:hAnsi="Arial"/>
          <w:b/>
          <w:bCs/>
          <w:sz w:val="21"/>
          <w:szCs w:val="21"/>
        </w:rPr>
        <w:t xml:space="preserve">A dedicated Legal Translation &amp; Localization Desk</w:t>
      </w:r>
      <w:r>
        <w:rPr>
          <w:rFonts w:ascii="Arial" w:cs="Arial" w:eastAsia="Arial" w:hAnsi="Arial"/>
          <w:sz w:val="21"/>
          <w:szCs w:val="21"/>
        </w:rPr>
        <w:t xml:space="preserve"> staffed by multilingual attorneys who work inside Netflix's own translation and localization tools, follow the Netflix glossary, and confine feedback to substantive legal accuracy.</w:t>
      </w:r>
    </w:p>
    <w:p>
      <w:pPr>
        <w:pStyle w:val="ListParagraph"/>
        <w:numPr>
          <w:ilvl w:val="0"/>
          <w:numId w:val="2"/>
        </w:numPr>
        <w:spacing w:after="80" w:line="264"/>
      </w:pPr>
      <w:r>
        <w:rPr>
          <w:rFonts w:ascii="Arial" w:cs="Arial" w:eastAsia="Arial" w:hAnsi="Arial"/>
          <w:b/>
          <w:bCs/>
          <w:sz w:val="21"/>
          <w:szCs w:val="21"/>
        </w:rPr>
        <w:t xml:space="preserve">Transparent, predictable pricing.</w:t>
      </w:r>
      <w:r>
        <w:rPr>
          <w:rFonts w:ascii="Arial" w:cs="Arial" w:eastAsia="Arial" w:hAnsi="Arial"/>
          <w:sz w:val="21"/>
          <w:szCs w:val="21"/>
        </w:rPr>
        <w:t xml:space="preserve"> Discounted rates fixed for three years, a subscription option for day-to-day advisory work, fixed fees for translation, capped fees for product contracts, volume credits, and a portion of our fees placed at risk against agreed performance indicators.</w:t>
      </w:r>
    </w:p>
    <w:p>
      <w:pPr>
        <w:pStyle w:val="ListParagraph"/>
        <w:numPr>
          <w:ilvl w:val="0"/>
          <w:numId w:val="2"/>
        </w:numPr>
        <w:spacing w:after="80" w:line="264"/>
      </w:pPr>
      <w:r>
        <w:rPr>
          <w:rFonts w:ascii="Arial" w:cs="Arial" w:eastAsia="Arial" w:hAnsi="Arial"/>
          <w:b/>
          <w:bCs/>
          <w:sz w:val="21"/>
          <w:szCs w:val="21"/>
        </w:rPr>
        <w:t xml:space="preserve">Full compliance from day one</w:t>
      </w:r>
      <w:r>
        <w:rPr>
          <w:rFonts w:ascii="Arial" w:cs="Arial" w:eastAsia="Arial" w:hAnsi="Arial"/>
          <w:sz w:val="21"/>
          <w:szCs w:val="21"/>
        </w:rPr>
        <w:t xml:space="preserve"> with the Netflix Outside Counsel Guidelines (Legal Tracker, LEDES, monthly billing and accruals), the Security Addendum, and the AI Guidelines, including ABA Formal Opinion 512.</w:t>
      </w:r>
    </w:p>
    <w:p>
      <w:pPr>
        <w:spacing w:after="140" w:line="276"/>
        <w:jc w:val="left"/>
      </w:pPr>
      <w:r>
        <w:rPr>
          <w:rFonts w:ascii="Arial" w:cs="Arial" w:eastAsia="Arial" w:hAnsi="Arial"/>
          <w:sz w:val="21"/>
          <w:szCs w:val="21"/>
        </w:rPr>
        <w:t xml:space="preserve">We have reviewed and accept the confidentiality obligations, legal notice, terms and conditions and communication protocol set out in the RFP. We have completed a preliminary conflicts review and have identified no conflict that would prevent us from acting for Netflix on the scope described. We will not seek advance, general or litigation waivers.</w:t>
      </w:r>
    </w:p>
    <w:p>
      <w:pPr>
        <w:spacing w:after="140" w:line="276"/>
        <w:jc w:val="left"/>
      </w:pPr>
      <w:r>
        <w:rPr>
          <w:rFonts w:ascii="Arial" w:cs="Arial" w:eastAsia="Arial" w:hAnsi="Arial"/>
          <w:sz w:val="21"/>
          <w:szCs w:val="21"/>
        </w:rPr>
        <w:t xml:space="preserve">We would welcome the opportunity to present our team during the interview window of 15–25 September 2026 and to discuss how we can support Netflix's Product and Technology legal team over the long term.</w:t>
      </w:r>
    </w:p>
    <w:p>
      <w:pPr>
        <w:spacing w:after="140" w:line="276"/>
        <w:jc w:val="left"/>
      </w:pPr>
      <w:r>
        <w:rPr>
          <w:rFonts w:ascii="Arial" w:cs="Arial" w:eastAsia="Arial" w:hAnsi="Arial"/>
          <w:sz w:val="21"/>
          <w:szCs w:val="21"/>
        </w:rPr>
        <w:t xml:space="preserve">Yours faithfully,</w:t>
      </w:r>
    </w:p>
    <w:p>
      <w:pPr>
        <w:spacing w:after="500"/>
      </w:pPr>
    </w:p>
    <w:p>
      <w:pPr>
        <w:spacing w:after="140" w:line="276"/>
        <w:jc w:val="left"/>
      </w:pPr>
      <w:r>
        <w:rPr>
          <w:rFonts w:ascii="Arial" w:cs="Arial" w:eastAsia="Arial" w:hAnsi="Arial"/>
          <w:b/>
          <w:bCs/>
          <w:sz w:val="21"/>
          <w:szCs w:val="21"/>
          <w:shd w:fill="FFF200" w:color="auto" w:val="clear"/>
        </w:rPr>
        <w:t xml:space="preserve">[Relationship Partner name]</w:t>
      </w:r>
    </w:p>
    <w:p>
      <w:pPr>
        <w:spacing w:after="140" w:line="276"/>
        <w:jc w:val="left"/>
      </w:pPr>
      <w:r>
        <w:rPr>
          <w:rFonts w:ascii="Arial" w:cs="Arial" w:eastAsia="Arial" w:hAnsi="Arial"/>
          <w:sz w:val="21"/>
          <w:szCs w:val="21"/>
        </w:rPr>
        <w:t xml:space="preserve">Relationship Partner for Netflix</w:t>
      </w:r>
    </w:p>
    <w:p>
      <w:pPr>
        <w:spacing w:after="140" w:line="276"/>
        <w:jc w:val="left"/>
      </w:pPr>
      <w:r>
        <w:rPr>
          <w:rFonts w:ascii="Arial" w:cs="Arial" w:eastAsia="Arial" w:hAnsi="Arial"/>
          <w:sz w:val="21"/>
          <w:szCs w:val="21"/>
        </w:rPr>
        <w:t xml:space="preserve">Dentons KMN · </w:t>
      </w:r>
      <w:r>
        <w:rPr>
          <w:rFonts w:ascii="Arial" w:cs="Arial" w:eastAsia="Arial" w:hAnsi="Arial"/>
          <w:sz w:val="21"/>
          <w:szCs w:val="21"/>
          <w:shd w:fill="FFF200" w:color="auto" w:val="clear"/>
        </w:rPr>
        <w:t xml:space="preserve">[Street address, City, Country]</w:t>
      </w:r>
    </w:p>
    <w:p>
      <w:pPr>
        <w:spacing w:after="140" w:line="276"/>
        <w:jc w:val="left"/>
      </w:pPr>
      <w:r>
        <w:rPr>
          <w:rFonts w:ascii="Arial" w:cs="Arial" w:eastAsia="Arial" w:hAnsi="Arial"/>
          <w:sz w:val="21"/>
          <w:szCs w:val="21"/>
          <w:shd w:fill="FFF200" w:color="auto" w:val="clear"/>
        </w:rPr>
        <w:t xml:space="preserve">[email@dentons.com]</w:t>
      </w:r>
      <w:r>
        <w:rPr>
          <w:rFonts w:ascii="Arial" w:cs="Arial" w:eastAsia="Arial" w:hAnsi="Arial"/>
          <w:sz w:val="21"/>
          <w:szCs w:val="21"/>
        </w:rPr>
        <w:t xml:space="preserve"> · </w:t>
      </w:r>
      <w:r>
        <w:rPr>
          <w:rFonts w:ascii="Arial" w:cs="Arial" w:eastAsia="Arial" w:hAnsi="Arial"/>
          <w:sz w:val="21"/>
          <w:szCs w:val="21"/>
          <w:shd w:fill="FFF200" w:color="auto" w:val="clear"/>
        </w:rPr>
        <w:t xml:space="preserve">[+00 000 000 0000]</w:t>
      </w:r>
    </w:p>
    <w:p>
      <w:r>
        <w:br w:type="page"/>
      </w:r>
    </w:p>
    <w:p>
      <w:pPr>
        <w:pStyle w:val="Heading1"/>
        <w:keepNext/>
        <w:spacing w:after="160" w:before="360"/>
      </w:pPr>
      <w:r>
        <w:t xml:space="preserve">Contents</w:t>
      </w:r>
    </w:p>
    <w:p>
      <w:pPr>
        <w:spacing w:after="90"/>
        <w:ind w:left="200"/>
      </w:pPr>
      <w:r>
        <w:rPr>
          <w:rFonts w:ascii="Arial" w:cs="Arial" w:eastAsia="Arial" w:hAnsi="Arial"/>
          <w:b w:val="false"/>
          <w:bCs w:val="false"/>
          <w:sz w:val="21"/>
          <w:szCs w:val="21"/>
        </w:rPr>
        <w:t xml:space="preserve">1. Executive Summary</w:t>
      </w:r>
    </w:p>
    <w:p>
      <w:pPr>
        <w:spacing w:after="90"/>
        <w:ind w:left="200"/>
      </w:pPr>
      <w:r>
        <w:rPr>
          <w:rFonts w:ascii="Arial" w:cs="Arial" w:eastAsia="Arial" w:hAnsi="Arial"/>
          <w:b w:val="false"/>
          <w:bCs w:val="false"/>
          <w:sz w:val="21"/>
          <w:szCs w:val="21"/>
        </w:rPr>
        <w:t xml:space="preserve">2. Our Understanding of Netflix's Requirements</w:t>
      </w:r>
    </w:p>
    <w:p>
      <w:pPr>
        <w:spacing w:after="90"/>
        <w:ind w:left="200"/>
      </w:pPr>
      <w:r>
        <w:rPr>
          <w:rFonts w:ascii="Arial" w:cs="Arial" w:eastAsia="Arial" w:hAnsi="Arial"/>
          <w:b w:val="false"/>
          <w:bCs w:val="false"/>
          <w:sz w:val="21"/>
          <w:szCs w:val="21"/>
        </w:rPr>
        <w:t xml:space="preserve">3. About Dentons KMN</w:t>
      </w:r>
    </w:p>
    <w:p>
      <w:pPr>
        <w:spacing w:after="90"/>
        <w:ind w:left="200"/>
      </w:pPr>
      <w:r>
        <w:rPr>
          <w:rFonts w:ascii="Arial" w:cs="Arial" w:eastAsia="Arial" w:hAnsi="Arial"/>
          <w:b w:val="false"/>
          <w:bCs w:val="false"/>
          <w:sz w:val="21"/>
          <w:szCs w:val="21"/>
        </w:rPr>
        <w:t xml:space="preserve">4. Proposed Team and Staffing Model</w:t>
      </w:r>
    </w:p>
    <w:p>
      <w:pPr>
        <w:spacing w:after="90"/>
        <w:ind w:left="200"/>
      </w:pPr>
      <w:r>
        <w:rPr>
          <w:rFonts w:ascii="Arial" w:cs="Arial" w:eastAsia="Arial" w:hAnsi="Arial"/>
          <w:b w:val="false"/>
          <w:bCs w:val="false"/>
          <w:sz w:val="21"/>
          <w:szCs w:val="21"/>
        </w:rPr>
        <w:t xml:space="preserve">5. Our Approach to Each Area of Scope</w:t>
      </w:r>
    </w:p>
    <w:p>
      <w:pPr>
        <w:spacing w:after="90"/>
        <w:ind w:left="200"/>
      </w:pPr>
      <w:r>
        <w:rPr>
          <w:rFonts w:ascii="Arial" w:cs="Arial" w:eastAsia="Arial" w:hAnsi="Arial"/>
          <w:b w:val="false"/>
          <w:bCs w:val="false"/>
          <w:sz w:val="21"/>
          <w:szCs w:val="21"/>
        </w:rPr>
        <w:t xml:space="preserve">6. Communication and Responsiveness</w:t>
      </w:r>
    </w:p>
    <w:p>
      <w:pPr>
        <w:spacing w:after="90"/>
        <w:ind w:left="200"/>
      </w:pPr>
      <w:r>
        <w:rPr>
          <w:rFonts w:ascii="Arial" w:cs="Arial" w:eastAsia="Arial" w:hAnsi="Arial"/>
          <w:b w:val="false"/>
          <w:bCs w:val="false"/>
          <w:sz w:val="21"/>
          <w:szCs w:val="21"/>
        </w:rPr>
        <w:t xml:space="preserve">7. Transparency and Partnership</w:t>
      </w:r>
    </w:p>
    <w:p>
      <w:pPr>
        <w:spacing w:after="90"/>
        <w:ind w:left="200"/>
      </w:pPr>
      <w:r>
        <w:rPr>
          <w:rFonts w:ascii="Arial" w:cs="Arial" w:eastAsia="Arial" w:hAnsi="Arial"/>
          <w:b w:val="false"/>
          <w:bCs w:val="false"/>
          <w:sz w:val="21"/>
          <w:szCs w:val="21"/>
        </w:rPr>
        <w:t xml:space="preserve">8. Technical Quality and Strategic Counsel</w:t>
      </w:r>
    </w:p>
    <w:p>
      <w:pPr>
        <w:spacing w:after="90"/>
        <w:ind w:left="200"/>
      </w:pPr>
      <w:r>
        <w:rPr>
          <w:rFonts w:ascii="Arial" w:cs="Arial" w:eastAsia="Arial" w:hAnsi="Arial"/>
          <w:b w:val="false"/>
          <w:bCs w:val="false"/>
          <w:sz w:val="21"/>
          <w:szCs w:val="21"/>
        </w:rPr>
        <w:t xml:space="preserve">9. Tools and Technology</w:t>
      </w:r>
    </w:p>
    <w:p>
      <w:pPr>
        <w:spacing w:after="90"/>
        <w:ind w:left="200"/>
      </w:pPr>
      <w:r>
        <w:rPr>
          <w:rFonts w:ascii="Arial" w:cs="Arial" w:eastAsia="Arial" w:hAnsi="Arial"/>
          <w:b w:val="false"/>
          <w:bCs w:val="false"/>
          <w:sz w:val="21"/>
          <w:szCs w:val="21"/>
        </w:rPr>
        <w:t xml:space="preserve">10. Team Composition, Diversity and Inclusion</w:t>
      </w:r>
    </w:p>
    <w:p>
      <w:pPr>
        <w:spacing w:after="90"/>
        <w:ind w:left="200"/>
      </w:pPr>
      <w:r>
        <w:rPr>
          <w:rFonts w:ascii="Arial" w:cs="Arial" w:eastAsia="Arial" w:hAnsi="Arial"/>
          <w:b w:val="false"/>
          <w:bCs w:val="false"/>
          <w:sz w:val="21"/>
          <w:szCs w:val="21"/>
        </w:rPr>
        <w:t xml:space="preserve">11. Pricing and Fee Proposal</w:t>
      </w:r>
    </w:p>
    <w:p>
      <w:pPr>
        <w:spacing w:after="90"/>
        <w:ind w:left="200"/>
      </w:pPr>
      <w:r>
        <w:rPr>
          <w:rFonts w:ascii="Arial" w:cs="Arial" w:eastAsia="Arial" w:hAnsi="Arial"/>
          <w:b w:val="false"/>
          <w:bCs w:val="false"/>
          <w:sz w:val="21"/>
          <w:szCs w:val="21"/>
        </w:rPr>
        <w:t xml:space="preserve">12. Compliance with the Netflix Outside Counsel Guidelines</w:t>
      </w:r>
    </w:p>
    <w:p>
      <w:pPr>
        <w:spacing w:after="90"/>
        <w:ind w:left="200"/>
      </w:pPr>
      <w:r>
        <w:rPr>
          <w:rFonts w:ascii="Arial" w:cs="Arial" w:eastAsia="Arial" w:hAnsi="Arial"/>
          <w:b w:val="false"/>
          <w:bCs w:val="false"/>
          <w:sz w:val="21"/>
          <w:szCs w:val="21"/>
        </w:rPr>
        <w:t xml:space="preserve">13. Information Security and AI Compliance</w:t>
      </w:r>
    </w:p>
    <w:p>
      <w:pPr>
        <w:spacing w:after="90"/>
        <w:ind w:left="200"/>
      </w:pPr>
      <w:r>
        <w:rPr>
          <w:rFonts w:ascii="Arial" w:cs="Arial" w:eastAsia="Arial" w:hAnsi="Arial"/>
          <w:b w:val="false"/>
          <w:bCs w:val="false"/>
          <w:sz w:val="21"/>
          <w:szCs w:val="21"/>
        </w:rPr>
        <w:t xml:space="preserve">14. Conflicts, Independence and Confidentiality</w:t>
      </w:r>
    </w:p>
    <w:p>
      <w:pPr>
        <w:spacing w:after="90"/>
        <w:ind w:left="200"/>
      </w:pPr>
      <w:r>
        <w:rPr>
          <w:rFonts w:ascii="Arial" w:cs="Arial" w:eastAsia="Arial" w:hAnsi="Arial"/>
          <w:b w:val="false"/>
          <w:bCs w:val="false"/>
          <w:sz w:val="21"/>
          <w:szCs w:val="21"/>
        </w:rPr>
        <w:t xml:space="preserve">15. Performance Measurement</w:t>
      </w:r>
    </w:p>
    <w:p>
      <w:pPr>
        <w:spacing w:after="90"/>
        <w:ind w:left="200"/>
      </w:pPr>
      <w:r>
        <w:rPr>
          <w:rFonts w:ascii="Arial" w:cs="Arial" w:eastAsia="Arial" w:hAnsi="Arial"/>
          <w:b w:val="false"/>
          <w:bCs w:val="false"/>
          <w:sz w:val="21"/>
          <w:szCs w:val="21"/>
        </w:rPr>
        <w:t xml:space="preserve">16. Onboarding and Transition Plan</w:t>
      </w:r>
    </w:p>
    <w:p>
      <w:pPr>
        <w:spacing w:after="90"/>
        <w:ind w:left="200"/>
      </w:pPr>
      <w:r>
        <w:rPr>
          <w:rFonts w:ascii="Arial" w:cs="Arial" w:eastAsia="Arial" w:hAnsi="Arial"/>
          <w:b w:val="false"/>
          <w:bCs w:val="false"/>
          <w:sz w:val="21"/>
          <w:szCs w:val="21"/>
        </w:rPr>
        <w:t xml:space="preserve">17. Acceptance of RFP Terms and Closing Statement</w:t>
      </w:r>
    </w:p>
    <w:p>
      <w:pPr>
        <w:spacing w:after="90"/>
        <w:ind w:left="200"/>
      </w:pPr>
      <w:r>
        <w:rPr>
          <w:rFonts w:ascii="Arial" w:cs="Arial" w:eastAsia="Arial" w:hAnsi="Arial"/>
          <w:b w:val="false"/>
          <w:bCs w:val="false"/>
          <w:sz w:val="21"/>
          <w:szCs w:val="21"/>
        </w:rPr>
        <w:t xml:space="preserve">Appendix A – Security Addendum Control Matrix</w:t>
      </w:r>
    </w:p>
    <w:p>
      <w:pPr>
        <w:spacing w:after="90"/>
        <w:ind w:left="200"/>
      </w:pPr>
      <w:r>
        <w:rPr>
          <w:rFonts w:ascii="Arial" w:cs="Arial" w:eastAsia="Arial" w:hAnsi="Arial"/>
          <w:b w:val="false"/>
          <w:bCs w:val="false"/>
          <w:sz w:val="21"/>
          <w:szCs w:val="21"/>
        </w:rPr>
        <w:t xml:space="preserve">Appendix B – Key Contacts</w:t>
      </w:r>
    </w:p>
    <w:p>
      <w:pPr>
        <w:spacing w:after="200"/>
      </w:pPr>
    </w:p>
    <w:tbl>
      <w:tblPr>
        <w:tblW w:type="dxa" w:w="9360"/>
        <w:tblBorders>
          <w:top w:val="none" w:color="FFFFFF" w:sz="0"/>
          <w:left w:val="single" w:color="5B2A86" w:sz="24"/>
          <w:bottom w:val="none" w:color="FFFFFF" w:sz="0"/>
          <w:right w:val="none" w:color="FFFFFF" w:sz="0"/>
          <w:insideH w:val="none" w:color="FFFFFF" w:sz="0"/>
          <w:insideV w:val="none" w:color="FFFFFF" w:sz="0"/>
        </w:tblBorders>
      </w:tblPr>
      <w:tblGrid>
        <w:gridCol w:w="9360"/>
      </w:tblGrid>
      <w:tr>
        <w:tc>
          <w:tcPr>
            <w:tcW w:type="dxa" w:w="9360"/>
            <w:shd w:fill="EFE9F5" w:color="auto" w:val="clear"/>
            <w:tcMar>
              <w:top w:type="dxa" w:w="140"/>
              <w:left w:type="dxa" w:w="200"/>
              <w:bottom w:type="dxa" w:w="100"/>
              <w:right w:type="dxa" w:w="200"/>
            </w:tcMar>
          </w:tcPr>
          <w:p>
            <w:pPr>
              <w:spacing w:after="80"/>
            </w:pPr>
            <w:r>
              <w:rPr>
                <w:rFonts w:ascii="Arial" w:cs="Arial" w:eastAsia="Arial" w:hAnsi="Arial"/>
                <w:b/>
                <w:bCs/>
                <w:color w:val="5B2A86"/>
                <w:sz w:val="22"/>
                <w:szCs w:val="22"/>
              </w:rPr>
              <w:t xml:space="preserve">Companion document</w:t>
            </w:r>
          </w:p>
          <w:p>
            <w:pPr>
              <w:spacing w:after="60" w:line="264"/>
            </w:pPr>
            <w:r>
              <w:rPr>
                <w:rFonts w:ascii="Arial" w:cs="Arial" w:eastAsia="Arial" w:hAnsi="Arial"/>
                <w:sz w:val="20"/>
                <w:szCs w:val="20"/>
              </w:rPr>
              <w:t xml:space="preserve">The completed </w:t>
            </w:r>
            <w:r>
              <w:rPr>
                <w:rFonts w:ascii="Arial" w:cs="Arial" w:eastAsia="Arial" w:hAnsi="Arial"/>
                <w:b/>
                <w:bCs/>
                <w:sz w:val="20"/>
                <w:szCs w:val="20"/>
              </w:rPr>
              <w:t xml:space="preserve">Netflix RFP Response Spreadsheet</w:t>
            </w:r>
            <w:r>
              <w:rPr>
                <w:rFonts w:ascii="Arial" w:cs="Arial" w:eastAsia="Arial" w:hAnsi="Arial"/>
                <w:sz w:val="20"/>
                <w:szCs w:val="20"/>
              </w:rPr>
              <w:t xml:space="preserve"> accompanies this proposal and is the primary vehicle for our questionnaire responses, as required by the RFP. This proposal expands on those responses; where the two differ, the spreadsheet governs.</w:t>
            </w:r>
          </w:p>
        </w:tc>
      </w:tr>
    </w:tbl>
    <w:p>
      <w:r>
        <w:br w:type="page"/>
      </w:r>
    </w:p>
    <w:p>
      <w:pPr>
        <w:pStyle w:val="Heading1"/>
        <w:keepNext/>
        <w:spacing w:after="160" w:before="360"/>
      </w:pPr>
      <w:r>
        <w:t xml:space="preserve">1. Executive Summary</w:t>
      </w:r>
    </w:p>
    <w:p>
      <w:pPr>
        <w:spacing w:after="140" w:line="276"/>
        <w:jc w:val="left"/>
      </w:pPr>
      <w:r>
        <w:rPr>
          <w:rFonts w:ascii="Arial" w:cs="Arial" w:eastAsia="Arial" w:hAnsi="Arial"/>
          <w:sz w:val="21"/>
          <w:szCs w:val="21"/>
        </w:rPr>
        <w:t xml:space="preserve">Netflix is seeking a small number of firms able to act as a genuine extension of its Product and Technology legal team: counsel who can prosecute patents across the world, keep privacy, consumer protection and marketing practices compliant in every market, paper product and platform deals quickly, respond to regulators, and translate legal documents accurately into the languages Netflix's members speak. Dentons KMN offers all of this through one accountable team, on one set of commercial terms, supported by the largest law firm network in the world.</w:t>
      </w:r>
    </w:p>
    <w:p>
      <w:pPr>
        <w:pStyle w:val="Heading2"/>
        <w:keepNext/>
        <w:spacing w:after="120" w:before="240"/>
      </w:pPr>
      <w:r>
        <w:t xml:space="preserve">Why Dentons KMN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760"/>
      </w:tblGrid>
      <w:tr>
        <w:trPr>
          <w:cantSplit/>
          <w:tblHeader/>
        </w:trPr>
        <w:tc>
          <w:tcPr>
            <w:tcW w:type="dxa" w:w="36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What Netflix asked for</w:t>
            </w:r>
          </w:p>
        </w:tc>
        <w:tc>
          <w:tcPr>
            <w:tcW w:type="dxa" w:w="57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What Dentons KMN offers</w:t>
            </w:r>
          </w:p>
        </w:tc>
      </w:tr>
      <w:tr>
        <w:trPr>
          <w:cantSplit/>
          <w:tblHeader w:val="false"/>
        </w:trPr>
        <w:tc>
          <w:tcPr>
            <w:tcW w:type="dxa" w:w="3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Comprehensive product and technology counsel for a global entertainment and technology company</w:t>
            </w:r>
          </w:p>
        </w:tc>
        <w:tc>
          <w:tcPr>
            <w:tcW w:type="dxa" w:w="5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An integrated Product &amp; Technology team combining privacy, consumer, IP, commercial and regulatory lawyers who advise technology and media platforms daily, with local-law reach through Dentons offices in the countries where Netflix operates</w:t>
            </w:r>
          </w:p>
        </w:tc>
      </w:tr>
      <w:tr>
        <w:trPr>
          <w:cantSplit/>
          <w:tblHeader w:val="false"/>
        </w:trPr>
        <w:tc>
          <w:tcPr>
            <w:tcW w:type="dxa" w:w="3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Legal translation across languages and jurisdictions, inside Netflix tools, to the Netflix glossary</w:t>
            </w:r>
          </w:p>
        </w:tc>
        <w:tc>
          <w:tcPr>
            <w:tcW w:type="dxa" w:w="5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dedicated Legal Translation &amp; Localization Desk of multilingual attorneys with a documented QA workflow, glossary governance and a "substantive-only" feedback rule</w:t>
            </w:r>
          </w:p>
        </w:tc>
      </w:tr>
      <w:tr>
        <w:trPr>
          <w:cantSplit/>
          <w:tblHeader w:val="false"/>
        </w:trPr>
        <w:tc>
          <w:tcPr>
            <w:tcW w:type="dxa" w:w="3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Responsive support for time-sensitive negotiations and regulatory inquiries</w:t>
            </w:r>
          </w:p>
        </w:tc>
        <w:tc>
          <w:tcPr>
            <w:tcW w:type="dxa" w:w="5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Named escalation path, two-business-hour acknowledgement, same-day turnaround for urgent items, follow-the-sun coverage across the Dentons network</w:t>
            </w:r>
          </w:p>
        </w:tc>
      </w:tr>
      <w:tr>
        <w:trPr>
          <w:cantSplit/>
          <w:tblHeader w:val="false"/>
        </w:trPr>
        <w:tc>
          <w:tcPr>
            <w:tcW w:type="dxa" w:w="3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Transparency about successes and setbacks</w:t>
            </w:r>
          </w:p>
        </w:tc>
        <w:tc>
          <w:tcPr>
            <w:tcW w:type="dxa" w:w="5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Written risk ratings on every piece of advice, budget alerts at 75% of estimate, quarterly business reviews with a candid "what we would do differently" section</w:t>
            </w:r>
          </w:p>
        </w:tc>
      </w:tr>
      <w:tr>
        <w:trPr>
          <w:cantSplit/>
          <w:tblHeader w:val="false"/>
        </w:trPr>
        <w:tc>
          <w:tcPr>
            <w:tcW w:type="dxa" w:w="3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Efficient use of tools, AI, automation and dashboards</w:t>
            </w:r>
          </w:p>
        </w:tc>
        <w:tc>
          <w:tcPr>
            <w:tcW w:type="dxa" w:w="5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Netflix client dashboard with real-time spend, status and KPIs; AI used only with approved tools and in line with the Netflix AI Guidelines and ABA Opinion 512</w:t>
            </w:r>
          </w:p>
        </w:tc>
      </w:tr>
      <w:tr>
        <w:trPr>
          <w:cantSplit/>
          <w:tblHeader w:val="false"/>
        </w:trPr>
        <w:tc>
          <w:tcPr>
            <w:tcW w:type="dxa" w:w="3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Teams reflecting diversity and inclusion</w:t>
            </w:r>
          </w:p>
        </w:tc>
        <w:tc>
          <w:tcPr>
            <w:tcW w:type="dxa" w:w="5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core team assembled to reflect diversity of background, gender and perspective, with representation data supplied in the Legal Tracker rate template where consented to and permitted</w:t>
            </w:r>
          </w:p>
        </w:tc>
      </w:tr>
      <w:tr>
        <w:trPr>
          <w:cantSplit/>
          <w:tblHeader w:val="false"/>
        </w:trPr>
        <w:tc>
          <w:tcPr>
            <w:tcW w:type="dxa" w:w="3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Transparent, predictable and competitive fees aligned to a long-term partnership</w:t>
            </w:r>
          </w:p>
        </w:tc>
        <w:tc>
          <w:tcPr>
            <w:tcW w:type="dxa" w:w="5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Discounted rates fixed for three years, a subscription option, fixed-fee translation, capped-fee contracts, volume credits and a 5% at-risk fee tied to KPIs</w:t>
            </w:r>
          </w:p>
        </w:tc>
      </w:tr>
    </w:tbl>
    <w:p>
      <w:pPr>
        <w:spacing w:after="120"/>
      </w:pPr>
    </w:p>
    <w:p>
      <w:pPr>
        <w:pStyle w:val="Heading2"/>
        <w:keepNext/>
        <w:spacing w:after="120" w:before="240"/>
      </w:pPr>
      <w:r>
        <w:t xml:space="preserve">Our commitments in numbers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400"/>
        <w:gridCol w:w="3960"/>
      </w:tblGrid>
      <w:tr>
        <w:trPr>
          <w:cantSplit/>
          <w:tblHeader/>
        </w:trPr>
        <w:tc>
          <w:tcPr>
            <w:tcW w:type="dxa" w:w="54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Commitment</w:t>
            </w:r>
          </w:p>
        </w:tc>
        <w:tc>
          <w:tcPr>
            <w:tcW w:type="dxa" w:w="39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Standard</w:t>
            </w:r>
          </w:p>
        </w:tc>
      </w:tr>
      <w:tr>
        <w:trPr>
          <w:cantSplit/>
          <w:tblHeader w:val="false"/>
        </w:trPr>
        <w:tc>
          <w:tcPr>
            <w:tcW w:type="dxa" w:w="5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Acknowledgement of any new request</w:t>
            </w:r>
          </w:p>
        </w:tc>
        <w:tc>
          <w:tcPr>
            <w:tcW w:type="dxa" w:w="3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2 business hours</w:t>
            </w:r>
          </w:p>
        </w:tc>
      </w:tr>
      <w:tr>
        <w:trPr>
          <w:cantSplit/>
          <w:tblHeader w:val="false"/>
        </w:trPr>
        <w:tc>
          <w:tcPr>
            <w:tcW w:type="dxa" w:w="5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Substantive response – routine advisory question</w:t>
            </w:r>
          </w:p>
        </w:tc>
        <w:tc>
          <w:tcPr>
            <w:tcW w:type="dxa" w:w="3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1 business day</w:t>
            </w:r>
          </w:p>
        </w:tc>
      </w:tr>
      <w:tr>
        <w:trPr>
          <w:cantSplit/>
          <w:tblHeader w:val="false"/>
        </w:trPr>
        <w:tc>
          <w:tcPr>
            <w:tcW w:type="dxa" w:w="5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Substantive response – urgent (negotiation, regulator, launch-blocking)</w:t>
            </w:r>
          </w:p>
        </w:tc>
        <w:tc>
          <w:tcPr>
            <w:tcW w:type="dxa" w:w="3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Same business day, with interim view within 4 hours</w:t>
            </w:r>
          </w:p>
        </w:tc>
      </w:tr>
      <w:tr>
        <w:trPr>
          <w:cantSplit/>
          <w:tblHeader w:val="false"/>
        </w:trPr>
        <w:tc>
          <w:tcPr>
            <w:tcW w:type="dxa" w:w="5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Legal translation turnaround (standard document, up to 3,000 words)</w:t>
            </w:r>
          </w:p>
        </w:tc>
        <w:tc>
          <w:tcPr>
            <w:tcW w:type="dxa" w:w="3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2 business days; rush option within 24 hours</w:t>
            </w:r>
          </w:p>
        </w:tc>
      </w:tr>
      <w:tr>
        <w:trPr>
          <w:cantSplit/>
          <w:tblHeader w:val="false"/>
        </w:trPr>
        <w:tc>
          <w:tcPr>
            <w:tcW w:type="dxa" w:w="5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Budget and estimate accuracy</w:t>
            </w:r>
          </w:p>
        </w:tc>
        <w:tc>
          <w:tcPr>
            <w:tcW w:type="dxa" w:w="3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10% of estimate; alert to Matter Lead at 75% of budget</w:t>
            </w:r>
          </w:p>
        </w:tc>
      </w:tr>
      <w:tr>
        <w:trPr>
          <w:cantSplit/>
          <w:tblHeader w:val="false"/>
        </w:trPr>
        <w:tc>
          <w:tcPr>
            <w:tcW w:type="dxa" w:w="5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Accrual accuracy</w:t>
            </w:r>
          </w:p>
        </w:tc>
        <w:tc>
          <w:tcPr>
            <w:tcW w:type="dxa" w:w="3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10% of actuals every month</w:t>
            </w:r>
          </w:p>
        </w:tc>
      </w:tr>
      <w:tr>
        <w:trPr>
          <w:cantSplit/>
          <w:tblHeader w:val="false"/>
        </w:trPr>
        <w:tc>
          <w:tcPr>
            <w:tcW w:type="dxa" w:w="5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Invoice first-time acceptance rate in Legal Tracker</w:t>
            </w:r>
          </w:p>
        </w:tc>
        <w:tc>
          <w:tcPr>
            <w:tcW w:type="dxa" w:w="3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At least 95%</w:t>
            </w:r>
          </w:p>
        </w:tc>
      </w:tr>
      <w:tr>
        <w:trPr>
          <w:cantSplit/>
          <w:tblHeader w:val="false"/>
        </w:trPr>
        <w:tc>
          <w:tcPr>
            <w:tcW w:type="dxa" w:w="5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Rate stability</w:t>
            </w:r>
          </w:p>
        </w:tc>
        <w:tc>
          <w:tcPr>
            <w:tcW w:type="dxa" w:w="3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Rates fixed for 3 years from 1 January 2027</w:t>
            </w:r>
          </w:p>
        </w:tc>
      </w:tr>
      <w:tr>
        <w:trPr>
          <w:cantSplit/>
          <w:tblHeader w:val="false"/>
        </w:trPr>
        <w:tc>
          <w:tcPr>
            <w:tcW w:type="dxa" w:w="5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Security incident notification</w:t>
            </w:r>
          </w:p>
        </w:tc>
        <w:tc>
          <w:tcPr>
            <w:tcW w:type="dxa" w:w="3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48 hours of discovery, as the Addendum requires; our internal target is 24 hours</w:t>
            </w:r>
          </w:p>
        </w:tc>
      </w:tr>
    </w:tbl>
    <w:p>
      <w:r>
        <w:br w:type="page"/>
      </w:r>
    </w:p>
    <w:p>
      <w:pPr>
        <w:pStyle w:val="Heading1"/>
        <w:keepNext/>
        <w:spacing w:after="160" w:before="360"/>
      </w:pPr>
      <w:r>
        <w:t xml:space="preserve">2. Our Understanding of Netflix's Requirements</w:t>
      </w:r>
    </w:p>
    <w:p>
      <w:pPr>
        <w:spacing w:after="140" w:line="276"/>
        <w:jc w:val="left"/>
      </w:pPr>
      <w:r>
        <w:rPr>
          <w:rFonts w:ascii="Arial" w:cs="Arial" w:eastAsia="Arial" w:hAnsi="Arial"/>
          <w:sz w:val="21"/>
          <w:szCs w:val="21"/>
        </w:rPr>
        <w:t xml:space="preserve">We have read the RFP, the 2026 Outside Counsel Guidelines and the Security Addendum &amp; AI Guidelines closely. Our understanding of the engagement, and of what will make it succeed, is set out below.</w:t>
      </w:r>
    </w:p>
    <w:p>
      <w:pPr>
        <w:pStyle w:val="Heading2"/>
        <w:keepNext/>
        <w:spacing w:after="120" w:before="240"/>
      </w:pPr>
      <w:r>
        <w:t xml:space="preserve">2.1 The scope</w:t>
      </w:r>
    </w:p>
    <w:p>
      <w:pPr>
        <w:spacing w:after="140" w:line="276"/>
        <w:jc w:val="left"/>
      </w:pPr>
      <w:r>
        <w:rPr>
          <w:rFonts w:ascii="Arial" w:cs="Arial" w:eastAsia="Arial" w:hAnsi="Arial"/>
          <w:sz w:val="21"/>
          <w:szCs w:val="21"/>
        </w:rPr>
        <w:t xml:space="preserve">Netflix requires comprehensive product and technology legal counsel, including:</w:t>
      </w:r>
    </w:p>
    <w:p>
      <w:pPr>
        <w:pStyle w:val="ListParagraph"/>
        <w:numPr>
          <w:ilvl w:val="0"/>
          <w:numId w:val="2"/>
        </w:numPr>
        <w:spacing w:after="80" w:line="264"/>
      </w:pPr>
      <w:r>
        <w:rPr>
          <w:rFonts w:ascii="Arial" w:cs="Arial" w:eastAsia="Arial" w:hAnsi="Arial"/>
          <w:b/>
          <w:bCs/>
          <w:sz w:val="21"/>
          <w:szCs w:val="21"/>
        </w:rPr>
        <w:t xml:space="preserve">Global patent prosecution</w:t>
      </w:r>
      <w:r>
        <w:rPr>
          <w:rFonts w:ascii="Arial" w:cs="Arial" w:eastAsia="Arial" w:hAnsi="Arial"/>
          <w:sz w:val="21"/>
          <w:szCs w:val="21"/>
        </w:rPr>
        <w:t xml:space="preserve"> – drafting, filing and prosecuting patent applications for streaming, recommendation, encoding, delivery, games and platform technology across the jurisdictions Netflix selects, together with portfolio management.</w:t>
      </w:r>
    </w:p>
    <w:p>
      <w:pPr>
        <w:pStyle w:val="ListParagraph"/>
        <w:numPr>
          <w:ilvl w:val="0"/>
          <w:numId w:val="2"/>
        </w:numPr>
        <w:spacing w:after="80" w:line="264"/>
      </w:pPr>
      <w:r>
        <w:rPr>
          <w:rFonts w:ascii="Arial" w:cs="Arial" w:eastAsia="Arial" w:hAnsi="Arial"/>
          <w:b/>
          <w:bCs/>
          <w:sz w:val="21"/>
          <w:szCs w:val="21"/>
        </w:rPr>
        <w:t xml:space="preserve">Data privacy</w:t>
      </w:r>
      <w:r>
        <w:rPr>
          <w:rFonts w:ascii="Arial" w:cs="Arial" w:eastAsia="Arial" w:hAnsi="Arial"/>
          <w:sz w:val="21"/>
          <w:szCs w:val="21"/>
        </w:rPr>
        <w:t xml:space="preserve"> – product-by-product privacy counselling, data protection impact assessments, cross-border transfer mechanisms, children's and sensitive-data rules, cookies and tracking technologies, and engagement with data protection authorities.</w:t>
      </w:r>
    </w:p>
    <w:p>
      <w:pPr>
        <w:pStyle w:val="ListParagraph"/>
        <w:numPr>
          <w:ilvl w:val="0"/>
          <w:numId w:val="2"/>
        </w:numPr>
        <w:spacing w:after="80" w:line="264"/>
      </w:pPr>
      <w:r>
        <w:rPr>
          <w:rFonts w:ascii="Arial" w:cs="Arial" w:eastAsia="Arial" w:hAnsi="Arial"/>
          <w:b/>
          <w:bCs/>
          <w:sz w:val="21"/>
          <w:szCs w:val="21"/>
        </w:rPr>
        <w:t xml:space="preserve">Consumer protection</w:t>
      </w:r>
      <w:r>
        <w:rPr>
          <w:rFonts w:ascii="Arial" w:cs="Arial" w:eastAsia="Arial" w:hAnsi="Arial"/>
          <w:sz w:val="21"/>
          <w:szCs w:val="21"/>
        </w:rPr>
        <w:t xml:space="preserve"> – subscription, cancellation and auto-renewal rules, pricing and dark-pattern rules, terms of use, accessibility, games and in-app purchase rules, and platform regulation.</w:t>
      </w:r>
    </w:p>
    <w:p>
      <w:pPr>
        <w:pStyle w:val="ListParagraph"/>
        <w:numPr>
          <w:ilvl w:val="0"/>
          <w:numId w:val="2"/>
        </w:numPr>
        <w:spacing w:after="80" w:line="264"/>
      </w:pPr>
      <w:r>
        <w:rPr>
          <w:rFonts w:ascii="Arial" w:cs="Arial" w:eastAsia="Arial" w:hAnsi="Arial"/>
          <w:b/>
          <w:bCs/>
          <w:sz w:val="21"/>
          <w:szCs w:val="21"/>
        </w:rPr>
        <w:t xml:space="preserve">Marketing compliance</w:t>
      </w:r>
      <w:r>
        <w:rPr>
          <w:rFonts w:ascii="Arial" w:cs="Arial" w:eastAsia="Arial" w:hAnsi="Arial"/>
          <w:sz w:val="21"/>
          <w:szCs w:val="21"/>
        </w:rPr>
        <w:t xml:space="preserve"> – advertising standards, promotions and sweepstakes, influencer and endorsement rules, ad-supported tier and ad-tech compliance, and claims substantiation.</w:t>
      </w:r>
    </w:p>
    <w:p>
      <w:pPr>
        <w:pStyle w:val="ListParagraph"/>
        <w:numPr>
          <w:ilvl w:val="0"/>
          <w:numId w:val="2"/>
        </w:numPr>
        <w:spacing w:after="80" w:line="264"/>
      </w:pPr>
      <w:r>
        <w:rPr>
          <w:rFonts w:ascii="Arial" w:cs="Arial" w:eastAsia="Arial" w:hAnsi="Arial"/>
          <w:b/>
          <w:bCs/>
          <w:sz w:val="21"/>
          <w:szCs w:val="21"/>
        </w:rPr>
        <w:t xml:space="preserve">Product contracts</w:t>
      </w:r>
      <w:r>
        <w:rPr>
          <w:rFonts w:ascii="Arial" w:cs="Arial" w:eastAsia="Arial" w:hAnsi="Arial"/>
          <w:sz w:val="21"/>
          <w:szCs w:val="21"/>
        </w:rPr>
        <w:t xml:space="preserve"> – device and platform partnerships, technology licensing, SaaS and cloud procurement, developer and API terms, games publishing and distribution, and data processing terms.</w:t>
      </w:r>
    </w:p>
    <w:p>
      <w:pPr>
        <w:pStyle w:val="ListParagraph"/>
        <w:numPr>
          <w:ilvl w:val="0"/>
          <w:numId w:val="2"/>
        </w:numPr>
        <w:spacing w:after="80" w:line="264"/>
      </w:pPr>
      <w:r>
        <w:rPr>
          <w:rFonts w:ascii="Arial" w:cs="Arial" w:eastAsia="Arial" w:hAnsi="Arial"/>
          <w:b/>
          <w:bCs/>
          <w:sz w:val="21"/>
          <w:szCs w:val="21"/>
        </w:rPr>
        <w:t xml:space="preserve">Time-sensitive commercial negotiations and regulatory inquiries</w:t>
      </w:r>
      <w:r>
        <w:rPr>
          <w:rFonts w:ascii="Arial" w:cs="Arial" w:eastAsia="Arial" w:hAnsi="Arial"/>
          <w:sz w:val="21"/>
          <w:szCs w:val="21"/>
        </w:rPr>
        <w:t xml:space="preserve"> – rapid negotiation support and coordinated responses to regulator questions, investigations and consultations.</w:t>
      </w:r>
    </w:p>
    <w:p>
      <w:pPr>
        <w:pStyle w:val="ListParagraph"/>
        <w:numPr>
          <w:ilvl w:val="0"/>
          <w:numId w:val="2"/>
        </w:numPr>
        <w:spacing w:after="80" w:line="264"/>
      </w:pPr>
      <w:r>
        <w:rPr>
          <w:rFonts w:ascii="Arial" w:cs="Arial" w:eastAsia="Arial" w:hAnsi="Arial"/>
          <w:b/>
          <w:bCs/>
          <w:sz w:val="21"/>
          <w:szCs w:val="21"/>
        </w:rPr>
        <w:t xml:space="preserve">Legal translation</w:t>
      </w:r>
      <w:r>
        <w:rPr>
          <w:rFonts w:ascii="Arial" w:cs="Arial" w:eastAsia="Arial" w:hAnsi="Arial"/>
          <w:sz w:val="21"/>
          <w:szCs w:val="21"/>
        </w:rPr>
        <w:t xml:space="preserve"> – translation and legal review of privacy notices, terms, consumer disclosures and other product and technology documents by multilingual attorneys working within Netflix's translation and localization tools, adhering closely to the Netflix glossary and limiting feedback to substantive legal accuracy.</w:t>
      </w:r>
    </w:p>
    <w:p>
      <w:pPr>
        <w:pStyle w:val="Heading2"/>
        <w:keepNext/>
        <w:spacing w:after="120" w:before="240"/>
      </w:pPr>
      <w:r>
        <w:t xml:space="preserve">2.2 What we believe matters most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3100"/>
        <w:gridCol w:w="3360"/>
      </w:tblGrid>
      <w:tr>
        <w:trPr>
          <w:cantSplit/>
          <w:tblHeader/>
        </w:trPr>
        <w:tc>
          <w:tcPr>
            <w:tcW w:type="dxa" w:w="29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Netflix reality</w:t>
            </w:r>
          </w:p>
        </w:tc>
        <w:tc>
          <w:tcPr>
            <w:tcW w:type="dxa" w:w="31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Implication for outside counsel</w:t>
            </w:r>
          </w:p>
        </w:tc>
        <w:tc>
          <w:tcPr>
            <w:tcW w:type="dxa" w:w="33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How we respond</w:t>
            </w:r>
          </w:p>
        </w:tc>
      </w:tr>
      <w:tr>
        <w:trPr>
          <w:cantSplit/>
          <w:tblHeader w:val="false"/>
        </w:trPr>
        <w:tc>
          <w:tcPr>
            <w:tcW w:type="dxa" w:w="29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Products ship continuously to 190+ countries</w:t>
            </w:r>
          </w:p>
        </w:tc>
        <w:tc>
          <w:tcPr>
            <w:tcW w:type="dxa" w:w="31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Advice must arrive before the release, and must already be reconciled across jurisdictions</w:t>
            </w:r>
          </w:p>
        </w:tc>
        <w:tc>
          <w:tcPr>
            <w:tcW w:type="dxa" w:w="33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Multi-jurisdiction "one answer" memos coordinated by a single lead, with a jurisdiction matrix and a clear global recommendation</w:t>
            </w:r>
          </w:p>
        </w:tc>
      </w:tr>
      <w:tr>
        <w:trPr>
          <w:cantSplit/>
          <w:tblHeader w:val="false"/>
        </w:trPr>
        <w:tc>
          <w:tcPr>
            <w:tcW w:type="dxa" w:w="29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 in-house lawyers are experienced and hands-on</w:t>
            </w:r>
          </w:p>
        </w:tc>
        <w:tc>
          <w:tcPr>
            <w:tcW w:type="dxa" w:w="3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Outside counsel should add capacity and specialist depth, not duplicate in-house work</w:t>
            </w:r>
          </w:p>
        </w:tc>
        <w:tc>
          <w:tcPr>
            <w:tcW w:type="dxa" w:w="33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Lean staffing, use of Netflix precedents and in-house resources whenever cost-effective, no "getting up to speed" charges</w:t>
            </w:r>
          </w:p>
        </w:tc>
      </w:tr>
      <w:tr>
        <w:trPr>
          <w:cantSplit/>
          <w:tblHeader w:val="false"/>
        </w:trPr>
        <w:tc>
          <w:tcPr>
            <w:tcW w:type="dxa" w:w="29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Culture of direct communication and high performance</w:t>
            </w:r>
          </w:p>
        </w:tc>
        <w:tc>
          <w:tcPr>
            <w:tcW w:type="dxa" w:w="31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Candour is expected: risks, limitations and mistakes must be raised early</w:t>
            </w:r>
          </w:p>
        </w:tc>
        <w:tc>
          <w:tcPr>
            <w:tcW w:type="dxa" w:w="33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Written risk ratings, "no surprises" budget rules, post-matter debriefs and a standing performance dialogue</w:t>
            </w:r>
          </w:p>
        </w:tc>
      </w:tr>
      <w:tr>
        <w:trPr>
          <w:cantSplit/>
          <w:tblHeader w:val="false"/>
        </w:trPr>
        <w:tc>
          <w:tcPr>
            <w:tcW w:type="dxa" w:w="29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Localization at scale, in many languages, in Netflix tools</w:t>
            </w:r>
          </w:p>
        </w:tc>
        <w:tc>
          <w:tcPr>
            <w:tcW w:type="dxa" w:w="3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Translation must be legally accurate, consistent with the glossary and free of stylistic churn</w:t>
            </w:r>
          </w:p>
        </w:tc>
        <w:tc>
          <w:tcPr>
            <w:tcW w:type="dxa" w:w="33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Attorney-translators trained on the Netflix glossary, working in Netflix tools, with a two-step legal QA and a substantive-only feedback rule</w:t>
            </w:r>
          </w:p>
        </w:tc>
      </w:tr>
      <w:tr>
        <w:trPr>
          <w:cantSplit/>
          <w:tblHeader w:val="false"/>
        </w:trPr>
        <w:tc>
          <w:tcPr>
            <w:tcW w:type="dxa" w:w="29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Disciplined legal operations (Legal Tracker, LEDES, accruals)</w:t>
            </w:r>
          </w:p>
        </w:tc>
        <w:tc>
          <w:tcPr>
            <w:tcW w:type="dxa" w:w="31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Billing hygiene is part of the service, not an afterthought</w:t>
            </w:r>
          </w:p>
        </w:tc>
        <w:tc>
          <w:tcPr>
            <w:tcW w:type="dxa" w:w="33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named billing manager, monthly LEDES invoicing, accruals within 10%, first-time acceptance target of 95%</w:t>
            </w:r>
          </w:p>
        </w:tc>
      </w:tr>
    </w:tbl>
    <w:p>
      <w:pPr>
        <w:spacing w:after="120"/>
      </w:pPr>
    </w:p>
    <w:p>
      <w:pPr>
        <w:pStyle w:val="Heading2"/>
        <w:keepNext/>
        <w:spacing w:after="120" w:before="240"/>
      </w:pPr>
      <w:r>
        <w:t xml:space="preserve">2.3 Assumptions</w:t>
      </w:r>
    </w:p>
    <w:p>
      <w:pPr>
        <w:spacing w:after="140" w:line="276"/>
        <w:jc w:val="left"/>
      </w:pPr>
      <w:r>
        <w:rPr>
          <w:rFonts w:ascii="Arial" w:cs="Arial" w:eastAsia="Arial" w:hAnsi="Arial"/>
          <w:sz w:val="21"/>
          <w:szCs w:val="21"/>
        </w:rPr>
        <w:t xml:space="preserve">In the absence of matter-level volumes in the RFP, our fee options in Section 11 assume an initial engagement of twelve months from award, renewable, with work allocated by Netflix Matter Leads on a matter-by-matter basis. Volumes stated in the fee tables are illustrative and do not constitute a minimum commitment by Netflix. All pricing is in US dollars unless a Netflix billing entity or the place of performance requires another currency, as the Guidelines contemplate.</w:t>
      </w:r>
    </w:p>
    <w:p>
      <w:r>
        <w:br w:type="page"/>
      </w:r>
    </w:p>
    <w:p>
      <w:pPr>
        <w:pStyle w:val="Heading1"/>
        <w:keepNext/>
        <w:spacing w:after="160" w:before="360"/>
      </w:pPr>
      <w:r>
        <w:t xml:space="preserve">3. About Dentons KMN</w:t>
      </w:r>
    </w:p>
    <w:p>
      <w:pPr>
        <w:spacing w:after="140" w:line="276"/>
        <w:jc w:val="left"/>
      </w:pPr>
      <w:r>
        <w:rPr>
          <w:rFonts w:ascii="Arial" w:cs="Arial" w:eastAsia="Arial" w:hAnsi="Arial"/>
          <w:sz w:val="21"/>
          <w:szCs w:val="21"/>
        </w:rPr>
        <w:t xml:space="preserve">Dentons KMN is a full-service law firm based in </w:t>
      </w:r>
      <w:r>
        <w:rPr>
          <w:rFonts w:ascii="Arial" w:cs="Arial" w:eastAsia="Arial" w:hAnsi="Arial"/>
          <w:sz w:val="21"/>
          <w:szCs w:val="21"/>
          <w:shd w:fill="FFF200" w:color="auto" w:val="clear"/>
        </w:rPr>
        <w:t xml:space="preserve">[Office city]</w:t>
      </w:r>
      <w:r>
        <w:rPr>
          <w:rFonts w:ascii="Arial" w:cs="Arial" w:eastAsia="Arial" w:hAnsi="Arial"/>
          <w:sz w:val="21"/>
          <w:szCs w:val="21"/>
        </w:rPr>
        <w:t xml:space="preserve"> and a member of Dentons, the world's largest law firm by lawyer headcount, with offices in more than 80 countries. Dentons is polycentric by design: there is no single headquarters and no dominant national culture, which means Netflix receives locally qualified advice in each market delivered through a single, globally coordinated team.</w:t>
      </w:r>
    </w:p>
    <w:p>
      <w:pPr>
        <w:pStyle w:val="Heading2"/>
        <w:keepNext/>
        <w:spacing w:after="120" w:before="240"/>
      </w:pPr>
      <w:r>
        <w:t xml:space="preserve">3.1 Relevant capabilities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cantSplit/>
          <w:tblHeader/>
        </w:trPr>
        <w:tc>
          <w:tcPr>
            <w:tcW w:type="dxa" w:w="32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Practice</w:t>
            </w:r>
          </w:p>
        </w:tc>
        <w:tc>
          <w:tcPr>
            <w:tcW w:type="dxa" w:w="61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Relevance to the Netflix scope</w:t>
            </w:r>
          </w:p>
        </w:tc>
      </w:tr>
      <w:tr>
        <w:trPr>
          <w:cantSplit/>
          <w:tblHeader w:val="false"/>
        </w:trPr>
        <w:tc>
          <w:tcPr>
            <w:tcW w:type="dxa" w:w="32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Privacy, Data Protection and Cybersecurity</w:t>
            </w:r>
          </w:p>
        </w:tc>
        <w:tc>
          <w:tcPr>
            <w:tcW w:type="dxa" w:w="61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Product privacy counselling, DPIAs, transfer mechanisms, regulator engagement, breach response, ad-tech and tracking technologies</w:t>
            </w:r>
          </w:p>
        </w:tc>
      </w:tr>
      <w:tr>
        <w:trPr>
          <w:cantSplit/>
          <w:tblHeader w:val="false"/>
        </w:trPr>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Consumer Protection, Advertising and Marketing</w:t>
            </w:r>
          </w:p>
        </w:tc>
        <w:tc>
          <w:tcPr>
            <w:tcW w:type="dxa" w:w="6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Subscription and auto-renewal rules, terms of use, promotions and sweepstakes, influencer and claims rules, dark-pattern enforcement trends</w:t>
            </w:r>
          </w:p>
        </w:tc>
      </w:tr>
      <w:tr>
        <w:trPr>
          <w:cantSplit/>
          <w:tblHeader w:val="false"/>
        </w:trPr>
        <w:tc>
          <w:tcPr>
            <w:tcW w:type="dxa" w:w="32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Intellectual Property and Patents</w:t>
            </w:r>
          </w:p>
        </w:tc>
        <w:tc>
          <w:tcPr>
            <w:tcW w:type="dxa" w:w="61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Patent drafting and prosecution, portfolio strategy, freedom-to-operate, standards and licensing for streaming and platform technologies</w:t>
            </w:r>
          </w:p>
        </w:tc>
      </w:tr>
      <w:tr>
        <w:trPr>
          <w:cantSplit/>
          <w:tblHeader w:val="false"/>
        </w:trPr>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Technology, Media and Telecommunications</w:t>
            </w:r>
          </w:p>
        </w:tc>
        <w:tc>
          <w:tcPr>
            <w:tcW w:type="dxa" w:w="6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Platform and device partnerships, technology licensing, cloud and SaaS, games distribution, content delivery and telecom regulation</w:t>
            </w:r>
          </w:p>
        </w:tc>
      </w:tr>
      <w:tr>
        <w:trPr>
          <w:cantSplit/>
          <w:tblHeader w:val="false"/>
        </w:trPr>
        <w:tc>
          <w:tcPr>
            <w:tcW w:type="dxa" w:w="32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Commercial Contracts</w:t>
            </w:r>
          </w:p>
        </w:tc>
        <w:tc>
          <w:tcPr>
            <w:tcW w:type="dxa" w:w="61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Rapid negotiation support, playbooks, template governance and contract lifecycle discipline</w:t>
            </w:r>
          </w:p>
        </w:tc>
      </w:tr>
      <w:tr>
        <w:trPr>
          <w:cantSplit/>
          <w:tblHeader w:val="false"/>
        </w:trPr>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Regulatory and Government Affairs</w:t>
            </w:r>
          </w:p>
        </w:tc>
        <w:tc>
          <w:tcPr>
            <w:tcW w:type="dxa" w:w="6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Coordinated responses to regulators across jurisdictions, consultations and legislative monitoring</w:t>
            </w:r>
          </w:p>
        </w:tc>
      </w:tr>
      <w:tr>
        <w:trPr>
          <w:cantSplit/>
          <w:tblHeader w:val="false"/>
        </w:trPr>
        <w:tc>
          <w:tcPr>
            <w:tcW w:type="dxa" w:w="32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Legal Translation and Localization</w:t>
            </w:r>
          </w:p>
        </w:tc>
        <w:tc>
          <w:tcPr>
            <w:tcW w:type="dxa" w:w="61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Attorney-led translation and legal review of product and technology documents in the languages Netflix operates in</w:t>
            </w:r>
          </w:p>
        </w:tc>
      </w:tr>
    </w:tbl>
    <w:p>
      <w:pPr>
        <w:spacing w:after="120"/>
      </w:pPr>
    </w:p>
    <w:p>
      <w:pPr>
        <w:pStyle w:val="Heading2"/>
        <w:keepNext/>
        <w:spacing w:after="120" w:before="240"/>
      </w:pPr>
      <w:r>
        <w:t xml:space="preserve">3.2 Sector experience</w:t>
      </w:r>
    </w:p>
    <w:p>
      <w:pPr>
        <w:spacing w:after="140" w:line="276"/>
        <w:jc w:val="left"/>
      </w:pPr>
      <w:r>
        <w:rPr>
          <w:rFonts w:ascii="Arial" w:cs="Arial" w:eastAsia="Arial" w:hAnsi="Arial"/>
          <w:sz w:val="21"/>
          <w:szCs w:val="21"/>
        </w:rPr>
        <w:t xml:space="preserve">Our lawyers advise streaming, gaming, digital media, consumer technology and platform businesses on the issues at the centre of this RFP: how to launch a product feature lawfully in many countries at once, how to design subscription and cancellation flows that satisfy consumer regulators, how to build a defensible privacy programme for personalization, and how to protect and license technology. We are accustomed to working with in-house teams that expect to be treated as sophisticated peers, and to the pace at which technology companies operate.</w:t>
      </w:r>
    </w:p>
    <w:tbl>
      <w:tblPr>
        <w:tblW w:type="dxa" w:w="9360"/>
        <w:tblBorders>
          <w:top w:val="none" w:color="FFFFFF" w:sz="0"/>
          <w:left w:val="single" w:color="5B2A86" w:sz="24"/>
          <w:bottom w:val="none" w:color="FFFFFF" w:sz="0"/>
          <w:right w:val="none" w:color="FFFFFF" w:sz="0"/>
          <w:insideH w:val="none" w:color="FFFFFF" w:sz="0"/>
          <w:insideV w:val="none" w:color="FFFFFF" w:sz="0"/>
        </w:tblBorders>
      </w:tblPr>
      <w:tblGrid>
        <w:gridCol w:w="9360"/>
      </w:tblGrid>
      <w:tr>
        <w:tc>
          <w:tcPr>
            <w:tcW w:type="dxa" w:w="9360"/>
            <w:shd w:fill="EFE9F5" w:color="auto" w:val="clear"/>
            <w:tcMar>
              <w:top w:type="dxa" w:w="140"/>
              <w:left w:type="dxa" w:w="200"/>
              <w:bottom w:type="dxa" w:w="100"/>
              <w:right w:type="dxa" w:w="200"/>
            </w:tcMar>
          </w:tcPr>
          <w:p>
            <w:pPr>
              <w:spacing w:after="80"/>
            </w:pPr>
            <w:r>
              <w:rPr>
                <w:rFonts w:ascii="Arial" w:cs="Arial" w:eastAsia="Arial" w:hAnsi="Arial"/>
                <w:b/>
                <w:bCs/>
                <w:color w:val="5B2A86"/>
                <w:sz w:val="22"/>
                <w:szCs w:val="22"/>
              </w:rPr>
              <w:t xml:space="preserve">Representative experience</w:t>
            </w:r>
          </w:p>
          <w:p>
            <w:pPr>
              <w:spacing w:after="60" w:line="264"/>
            </w:pPr>
            <w:r>
              <w:rPr>
                <w:rFonts w:ascii="Arial" w:cs="Arial" w:eastAsia="Arial" w:hAnsi="Arial"/>
                <w:sz w:val="20"/>
                <w:szCs w:val="20"/>
              </w:rPr>
              <w:t xml:space="preserve">Specific matter descriptions are available on request, subject to client confidentiality. In line with Section III.B of the Netflix Outside Counsel Guidelines, we do not publicise client engagements without written authorization, and we would apply the same rule to Netflix.</w:t>
            </w:r>
          </w:p>
          <w:p>
            <w:pPr>
              <w:spacing w:after="60" w:line="264"/>
            </w:pPr>
            <w:r>
              <w:rPr>
                <w:rFonts w:ascii="Arial" w:cs="Arial" w:eastAsia="Arial" w:hAnsi="Arial"/>
                <w:sz w:val="20"/>
                <w:szCs w:val="20"/>
                <w:shd w:fill="FFF200" w:color="auto" w:val="clear"/>
              </w:rPr>
              <w:t xml:space="preserve">[Insert 4–6 anonymised representative matters here: e.g. multi-country subscription flow review for a streaming service; global privacy programme for a personalization engine; patent portfolio for video encoding technology; regulator inquiry response on children's data; localization review of terms and privacy notices in 20+ languages.]</w:t>
            </w:r>
          </w:p>
        </w:tc>
      </w:tr>
    </w:tbl>
    <w:p>
      <w:pPr>
        <w:spacing w:after="120"/>
      </w:pPr>
    </w:p>
    <w:p>
      <w:pPr>
        <w:pStyle w:val="Heading2"/>
        <w:keepNext/>
        <w:spacing w:after="120" w:before="240"/>
      </w:pPr>
      <w:r>
        <w:t xml:space="preserve">3.3 Awards, rankings and accreditations</w:t>
      </w:r>
    </w:p>
    <w:p>
      <w:pPr>
        <w:spacing w:after="140" w:line="276"/>
        <w:jc w:val="left"/>
      </w:pPr>
      <w:r>
        <w:rPr>
          <w:rFonts w:ascii="Arial" w:cs="Arial" w:eastAsia="Arial" w:hAnsi="Arial"/>
          <w:sz w:val="21"/>
          <w:szCs w:val="21"/>
          <w:shd w:fill="FFF200" w:color="auto" w:val="clear"/>
        </w:rPr>
        <w:t xml:space="preserve">[Insert current directory rankings (e.g. Chambers, Legal 500) for the privacy, IP/patents, TMT and consumer practices of Dentons KMN and the relevant Dentons offices, together with any ISO 27001 or equivalent information security certifications held by the firm.]</w:t>
      </w:r>
    </w:p>
    <w:p>
      <w:r>
        <w:br w:type="page"/>
      </w:r>
    </w:p>
    <w:p>
      <w:pPr>
        <w:pStyle w:val="Heading1"/>
        <w:keepNext/>
        <w:spacing w:after="160" w:before="360"/>
      </w:pPr>
      <w:r>
        <w:t xml:space="preserve">4. Proposed Team and Staffing Model</w:t>
      </w:r>
    </w:p>
    <w:p>
      <w:pPr>
        <w:spacing w:after="140" w:line="276"/>
        <w:jc w:val="left"/>
      </w:pPr>
      <w:r>
        <w:rPr>
          <w:rFonts w:ascii="Arial" w:cs="Arial" w:eastAsia="Arial" w:hAnsi="Arial"/>
          <w:sz w:val="21"/>
          <w:szCs w:val="21"/>
        </w:rPr>
        <w:t xml:space="preserve">Netflix asks for staffing that is lean, stable and diverse. Our model gives Netflix a single accountable Relationship Partner, five practice leads, and a small bench of associates and attorney-translators who will work on Netflix matters consistently so that knowledge stays with the team. Any change to the core team will be discussed with, and approved by, the Netflix Matter Lead before it happens.</w:t>
      </w:r>
    </w:p>
    <w:p>
      <w:pPr>
        <w:pStyle w:val="Heading2"/>
        <w:keepNext/>
        <w:spacing w:after="120" w:before="240"/>
      </w:pPr>
      <w:r>
        <w:t xml:space="preserve">4.1 Core team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2000"/>
        <w:gridCol w:w="3860"/>
        <w:gridCol w:w="1400"/>
      </w:tblGrid>
      <w:tr>
        <w:trPr>
          <w:cantSplit/>
          <w:tblHeader/>
        </w:trPr>
        <w:tc>
          <w:tcPr>
            <w:tcW w:type="dxa" w:w="21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Role</w:t>
            </w:r>
          </w:p>
        </w:tc>
        <w:tc>
          <w:tcPr>
            <w:tcW w:type="dxa" w:w="20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Name</w:t>
            </w:r>
          </w:p>
        </w:tc>
        <w:tc>
          <w:tcPr>
            <w:tcW w:type="dxa" w:w="38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Responsibilities</w:t>
            </w:r>
          </w:p>
        </w:tc>
        <w:tc>
          <w:tcPr>
            <w:tcW w:type="dxa" w:w="14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Languages</w:t>
            </w:r>
          </w:p>
        </w:tc>
      </w:tr>
      <w:tr>
        <w:trPr>
          <w:cantSplit/>
          <w:tblHeader w:val="false"/>
        </w:trPr>
        <w:tc>
          <w:tcPr>
            <w:tcW w:type="dxa" w:w="21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Relationship Partner</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[Relationship Partner name]</w:t>
            </w:r>
          </w:p>
        </w:tc>
        <w:tc>
          <w:tcPr>
            <w:tcW w:type="dxa" w:w="38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Single point of accountability; scoping, staffing, budgets, quality, quarterly business reviews; escalation for any concern</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[English, …]</w:t>
            </w:r>
          </w:p>
        </w:tc>
      </w:tr>
      <w:tr>
        <w:trPr>
          <w:cantSplit/>
          <w:tblHeader w:val="false"/>
        </w:trPr>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Privacy &amp; Data Lead</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[Privacy &amp; Data Lead name]</w:t>
            </w:r>
          </w:p>
        </w:tc>
        <w:tc>
          <w:tcPr>
            <w:tcW w:type="dxa" w:w="38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Product privacy counselling, DPIAs, transfers, regulator engagement, incident response</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21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Consumer Protection &amp; Marketing Lead</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[Consumer &amp; Marketing Lead name]</w:t>
            </w:r>
          </w:p>
        </w:tc>
        <w:tc>
          <w:tcPr>
            <w:tcW w:type="dxa" w:w="38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Subscription and consumer rules, terms of use, advertising, promotions, ad-supported tier compliance</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Patents &amp; IP Lead</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[Patents &amp; IP Lead name]</w:t>
            </w:r>
          </w:p>
        </w:tc>
        <w:tc>
          <w:tcPr>
            <w:tcW w:type="dxa" w:w="38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Patent drafting and prosecution strategy, portfolio management, foreign associate network coordination</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21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Product Contracts &amp; Commercial Lead</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[Product Contracts Lead name]</w:t>
            </w:r>
          </w:p>
        </w:tc>
        <w:tc>
          <w:tcPr>
            <w:tcW w:type="dxa" w:w="38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Product, platform, device, licensing and procurement contracts; playbooks; time-sensitive negotiations</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Translation &amp; Localization Desk Lead</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[Translation Desk Lead name]</w:t>
            </w:r>
          </w:p>
        </w:tc>
        <w:tc>
          <w:tcPr>
            <w:tcW w:type="dxa" w:w="38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Attorney-translator pool, glossary governance, QA workflow, work in Netflix localization tools, turnaround management</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21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Client Service &amp; Billing Manager</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[Client Service / Billing Manager name]</w:t>
            </w:r>
          </w:p>
        </w:tc>
        <w:tc>
          <w:tcPr>
            <w:tcW w:type="dxa" w:w="38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Legal Tracker administration, LEDES invoicing, accruals, rate submissions, rejection handling, dashboard reporting</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English</w:t>
            </w:r>
          </w:p>
        </w:tc>
      </w:tr>
      <w:tr>
        <w:trPr>
          <w:cantSplit/>
          <w:tblHeader w:val="false"/>
        </w:trPr>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Security Point of Contact</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[Chief Information Security Officer name]</w:t>
            </w:r>
          </w:p>
        </w:tc>
        <w:tc>
          <w:tcPr>
            <w:tcW w:type="dxa" w:w="38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Security Addendum compliance, incident notification to vendorsecurity@netflix.com, security inquiries</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English</w:t>
            </w:r>
          </w:p>
        </w:tc>
      </w:tr>
    </w:tbl>
    <w:p>
      <w:pPr>
        <w:spacing w:after="120"/>
      </w:pPr>
    </w:p>
    <w:p>
      <w:pPr>
        <w:spacing w:after="140" w:line="276"/>
        <w:jc w:val="left"/>
      </w:pPr>
      <w:r>
        <w:rPr>
          <w:rFonts w:ascii="Arial" w:cs="Arial" w:eastAsia="Arial" w:hAnsi="Arial"/>
          <w:sz w:val="21"/>
          <w:szCs w:val="21"/>
        </w:rPr>
        <w:t xml:space="preserve">Full biographies, bar admissions, years of qualification, timekeeper IDs and proposed allocations are provided in the "Proposed Team" tab of the RFP spreadsheet.</w:t>
      </w:r>
    </w:p>
    <w:p>
      <w:pPr>
        <w:pStyle w:val="Heading2"/>
        <w:keepNext/>
        <w:spacing w:after="120" w:before="240"/>
      </w:pPr>
      <w:r>
        <w:t xml:space="preserve">4.2 Staffing principles</w:t>
      </w:r>
    </w:p>
    <w:p>
      <w:pPr>
        <w:pStyle w:val="ListParagraph"/>
        <w:numPr>
          <w:ilvl w:val="0"/>
          <w:numId w:val="2"/>
        </w:numPr>
        <w:spacing w:after="80" w:line="264"/>
      </w:pPr>
      <w:r>
        <w:rPr>
          <w:rFonts w:ascii="Arial" w:cs="Arial" w:eastAsia="Arial" w:hAnsi="Arial"/>
          <w:b/>
          <w:bCs/>
          <w:sz w:val="21"/>
          <w:szCs w:val="21"/>
        </w:rPr>
        <w:t xml:space="preserve">Right level, every task.</w:t>
      </w:r>
      <w:r>
        <w:rPr>
          <w:rFonts w:ascii="Arial" w:cs="Arial" w:eastAsia="Arial" w:hAnsi="Arial"/>
          <w:sz w:val="21"/>
          <w:szCs w:val="21"/>
        </w:rPr>
        <w:t xml:space="preserve"> Partners set strategy and sign off; senior associates deliver; paralegals handle work suited to paralegals. Attorneys will not bill for work generally completed by paralegals, and administrative work is never charged.</w:t>
      </w:r>
    </w:p>
    <w:p>
      <w:pPr>
        <w:pStyle w:val="ListParagraph"/>
        <w:numPr>
          <w:ilvl w:val="0"/>
          <w:numId w:val="2"/>
        </w:numPr>
        <w:spacing w:after="80" w:line="264"/>
      </w:pPr>
      <w:r>
        <w:rPr>
          <w:rFonts w:ascii="Arial" w:cs="Arial" w:eastAsia="Arial" w:hAnsi="Arial"/>
          <w:b/>
          <w:bCs/>
          <w:sz w:val="21"/>
          <w:szCs w:val="21"/>
        </w:rPr>
        <w:t xml:space="preserve">No first- or second-year associates</w:t>
      </w:r>
      <w:r>
        <w:rPr>
          <w:rFonts w:ascii="Arial" w:cs="Arial" w:eastAsia="Arial" w:hAnsi="Arial"/>
          <w:sz w:val="21"/>
          <w:szCs w:val="21"/>
        </w:rPr>
        <w:t xml:space="preserve"> and no summer associates on Netflix matters without the prior approval of the Netflix Matter Lead, in accordance with Section I.F of the Guidelines.</w:t>
      </w:r>
    </w:p>
    <w:p>
      <w:pPr>
        <w:pStyle w:val="ListParagraph"/>
        <w:numPr>
          <w:ilvl w:val="0"/>
          <w:numId w:val="2"/>
        </w:numPr>
        <w:spacing w:after="80" w:line="264"/>
      </w:pPr>
      <w:r>
        <w:rPr>
          <w:rFonts w:ascii="Arial" w:cs="Arial" w:eastAsia="Arial" w:hAnsi="Arial"/>
          <w:b/>
          <w:bCs/>
          <w:sz w:val="21"/>
          <w:szCs w:val="21"/>
        </w:rPr>
        <w:t xml:space="preserve">One attendee unless approved.</w:t>
      </w:r>
      <w:r>
        <w:rPr>
          <w:rFonts w:ascii="Arial" w:cs="Arial" w:eastAsia="Arial" w:hAnsi="Arial"/>
          <w:sz w:val="21"/>
          <w:szCs w:val="21"/>
        </w:rPr>
        <w:t xml:space="preserve"> Only one attorney attends meetings, negotiations and hearings unless the Netflix Matter Lead approves more in advance.</w:t>
      </w:r>
    </w:p>
    <w:p>
      <w:pPr>
        <w:pStyle w:val="ListParagraph"/>
        <w:numPr>
          <w:ilvl w:val="0"/>
          <w:numId w:val="2"/>
        </w:numPr>
        <w:spacing w:after="80" w:line="264"/>
      </w:pPr>
      <w:r>
        <w:rPr>
          <w:rFonts w:ascii="Arial" w:cs="Arial" w:eastAsia="Arial" w:hAnsi="Arial"/>
          <w:b/>
          <w:bCs/>
          <w:sz w:val="21"/>
          <w:szCs w:val="21"/>
        </w:rPr>
        <w:t xml:space="preserve">Stability.</w:t>
      </w:r>
      <w:r>
        <w:rPr>
          <w:rFonts w:ascii="Arial" w:cs="Arial" w:eastAsia="Arial" w:hAnsi="Arial"/>
          <w:sz w:val="21"/>
          <w:szCs w:val="21"/>
        </w:rPr>
        <w:t xml:space="preserve"> Core team members are allocated to Netflix on a standing basis. Where a change is unavoidable, we propose the replacement to the Matter Lead in advance, and Netflix is never charged for the transition or for "getting up to speed".</w:t>
      </w:r>
    </w:p>
    <w:p>
      <w:pPr>
        <w:pStyle w:val="ListParagraph"/>
        <w:numPr>
          <w:ilvl w:val="0"/>
          <w:numId w:val="2"/>
        </w:numPr>
        <w:spacing w:after="80" w:line="264"/>
      </w:pPr>
      <w:r>
        <w:rPr>
          <w:rFonts w:ascii="Arial" w:cs="Arial" w:eastAsia="Arial" w:hAnsi="Arial"/>
          <w:b/>
          <w:bCs/>
          <w:sz w:val="21"/>
          <w:szCs w:val="21"/>
        </w:rPr>
        <w:t xml:space="preserve">Leverage Netflix resources.</w:t>
      </w:r>
      <w:r>
        <w:rPr>
          <w:rFonts w:ascii="Arial" w:cs="Arial" w:eastAsia="Arial" w:hAnsi="Arial"/>
          <w:sz w:val="21"/>
          <w:szCs w:val="21"/>
        </w:rPr>
        <w:t xml:space="preserve"> We will use Netflix templates, playbooks, precedents and in-house specialists wherever it is reasonable and cost-effective to do so.</w:t>
      </w:r>
    </w:p>
    <w:p>
      <w:pPr>
        <w:pStyle w:val="ListParagraph"/>
        <w:numPr>
          <w:ilvl w:val="0"/>
          <w:numId w:val="2"/>
        </w:numPr>
        <w:spacing w:after="80" w:line="264"/>
      </w:pPr>
      <w:r>
        <w:rPr>
          <w:rFonts w:ascii="Arial" w:cs="Arial" w:eastAsia="Arial" w:hAnsi="Arial"/>
          <w:b/>
          <w:bCs/>
          <w:sz w:val="21"/>
          <w:szCs w:val="21"/>
        </w:rPr>
        <w:t xml:space="preserve">Global reach without global cost.</w:t>
      </w:r>
      <w:r>
        <w:rPr>
          <w:rFonts w:ascii="Arial" w:cs="Arial" w:eastAsia="Arial" w:hAnsi="Arial"/>
          <w:sz w:val="21"/>
          <w:szCs w:val="21"/>
        </w:rPr>
        <w:t xml:space="preserve"> Local-law input from other Dentons offices is coordinated by the core team and is scoped, budgeted and approved in advance; it is billed on the same Netflix terms.</w:t>
      </w:r>
    </w:p>
    <w:p>
      <w:pPr>
        <w:pStyle w:val="Heading2"/>
        <w:keepNext/>
        <w:spacing w:after="120" w:before="240"/>
      </w:pPr>
      <w:r>
        <w:t xml:space="preserve">4.3 Coverage, escalation and continuity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160"/>
      </w:tblGrid>
      <w:tr>
        <w:trPr>
          <w:cantSplit/>
          <w:tblHeader/>
        </w:trPr>
        <w:tc>
          <w:tcPr>
            <w:tcW w:type="dxa" w:w="32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Situation</w:t>
            </w:r>
          </w:p>
        </w:tc>
        <w:tc>
          <w:tcPr>
            <w:tcW w:type="dxa" w:w="61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What happens</w:t>
            </w:r>
          </w:p>
        </w:tc>
      </w:tr>
      <w:tr>
        <w:trPr>
          <w:cantSplit/>
          <w:tblHeader w:val="false"/>
        </w:trPr>
        <w:tc>
          <w:tcPr>
            <w:tcW w:type="dxa" w:w="32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New request from a Netflix Matter Lead</w:t>
            </w:r>
          </w:p>
        </w:tc>
        <w:tc>
          <w:tcPr>
            <w:tcW w:type="dxa" w:w="61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Acknowledged within 2 business hours by the relevant practice lead or the Relationship Partner; scope, timing and estimate confirmed the same day for anything above 5 hours of work</w:t>
            </w:r>
          </w:p>
        </w:tc>
      </w:tr>
      <w:tr>
        <w:trPr>
          <w:cantSplit/>
          <w:tblHeader w:val="false"/>
        </w:trPr>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Urgent request outside local business hours</w:t>
            </w:r>
          </w:p>
        </w:tc>
        <w:tc>
          <w:tcPr>
            <w:tcW w:type="dxa" w:w="6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Routed to the Dentons follow-the-sun duty roster via a dedicated Netflix mailbox; the Relationship Partner is reachable by phone at all times</w:t>
            </w:r>
          </w:p>
        </w:tc>
      </w:tr>
      <w:tr>
        <w:trPr>
          <w:cantSplit/>
          <w:tblHeader w:val="false"/>
        </w:trPr>
        <w:tc>
          <w:tcPr>
            <w:tcW w:type="dxa" w:w="32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Lead unavailable (leave, conflict, illness)</w:t>
            </w:r>
          </w:p>
        </w:tc>
        <w:tc>
          <w:tcPr>
            <w:tcW w:type="dxa" w:w="61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named deputy for each lead is disclosed in the spreadsheet; the deputy is already familiar with Netflix's matters, so there is no ramp-up cost</w:t>
            </w:r>
          </w:p>
        </w:tc>
      </w:tr>
      <w:tr>
        <w:trPr>
          <w:cantSplit/>
          <w:tblHeader w:val="false"/>
        </w:trPr>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Concern about service, quality or cost</w:t>
            </w:r>
          </w:p>
        </w:tc>
        <w:tc>
          <w:tcPr>
            <w:tcW w:type="dxa" w:w="6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Raise it with the Relationship Partner, or directly with the Office Managing Partner; response within one business day and a written remediation plan within five</w:t>
            </w:r>
          </w:p>
        </w:tc>
      </w:tr>
    </w:tbl>
    <w:p>
      <w:r>
        <w:br w:type="page"/>
      </w:r>
    </w:p>
    <w:p>
      <w:pPr>
        <w:pStyle w:val="Heading1"/>
        <w:keepNext/>
        <w:spacing w:after="160" w:before="360"/>
      </w:pPr>
      <w:r>
        <w:t xml:space="preserve">5. Our Approach to Each Area of Scope</w:t>
      </w:r>
    </w:p>
    <w:p>
      <w:pPr>
        <w:spacing w:after="140" w:line="276"/>
        <w:jc w:val="left"/>
      </w:pPr>
      <w:r>
        <w:rPr>
          <w:rFonts w:ascii="Arial" w:cs="Arial" w:eastAsia="Arial" w:hAnsi="Arial"/>
          <w:sz w:val="21"/>
          <w:szCs w:val="21"/>
        </w:rPr>
        <w:t xml:space="preserve">Across every area, our approach follows the same three rules: start from the product decision Netflix needs to make; give a recommendation and a risk rating, not a menu of options; and reconcile jurisdictions into a single global answer wherever possible.</w:t>
      </w:r>
    </w:p>
    <w:p>
      <w:pPr>
        <w:pStyle w:val="Heading2"/>
        <w:keepNext/>
        <w:spacing w:after="120" w:before="240"/>
      </w:pPr>
      <w:r>
        <w:t xml:space="preserve">5.1 Global patent prosecution</w:t>
      </w:r>
    </w:p>
    <w:p>
      <w:pPr>
        <w:spacing w:after="140" w:line="276"/>
        <w:jc w:val="left"/>
      </w:pPr>
      <w:r>
        <w:rPr>
          <w:rFonts w:ascii="Arial" w:cs="Arial" w:eastAsia="Arial" w:hAnsi="Arial"/>
          <w:b/>
          <w:bCs/>
          <w:sz w:val="21"/>
          <w:szCs w:val="21"/>
        </w:rPr>
        <w:t xml:space="preserve">What we do.</w:t>
      </w:r>
      <w:r>
        <w:rPr>
          <w:rFonts w:ascii="Arial" w:cs="Arial" w:eastAsia="Arial" w:hAnsi="Arial"/>
          <w:sz w:val="21"/>
          <w:szCs w:val="21"/>
        </w:rPr>
        <w:t xml:space="preserve"> Invention harvesting sessions with engineering teams; patentability and prior-art assessment; drafting of specifications and claims for software, streaming, encoding, recommendation, delivery, games and device technologies; filing and prosecution before the USPTO, EPO and other offices via Dentons offices and a managed network of long-standing foreign associates; oppositions and post-grant proceedings; portfolio reviews and annuity management.</w:t>
      </w:r>
    </w:p>
    <w:p>
      <w:pPr>
        <w:spacing w:after="140" w:line="276"/>
        <w:jc w:val="left"/>
      </w:pPr>
      <w:r>
        <w:rPr>
          <w:rFonts w:ascii="Arial" w:cs="Arial" w:eastAsia="Arial" w:hAnsi="Arial"/>
          <w:b/>
          <w:bCs/>
          <w:sz w:val="21"/>
          <w:szCs w:val="21"/>
        </w:rPr>
        <w:t xml:space="preserve">How we deliver.</w:t>
      </w:r>
      <w:r>
        <w:rPr>
          <w:rFonts w:ascii="Arial" w:cs="Arial" w:eastAsia="Arial" w:hAnsi="Arial"/>
          <w:sz w:val="21"/>
          <w:szCs w:val="21"/>
        </w:rPr>
        <w:t xml:space="preserve"> A single prosecution lead maintains Netflix's docket in our IP management system with automated deadline control and a monthly portfolio report. Foreign associate fees are engaged only with prior approval, paid by us and passed through at cost with the associate's invoice attached, as the Guidelines require. Where Netflix prefers, we work on a fixed-fee-per-stage basis (drafting, filing, office action response, grant) so prosecution spend is fully predictable.</w:t>
      </w:r>
    </w:p>
    <w:p>
      <w:pPr>
        <w:pStyle w:val="Heading2"/>
        <w:keepNext/>
        <w:spacing w:after="120" w:before="240"/>
      </w:pPr>
      <w:r>
        <w:t xml:space="preserve">5.2 Data privacy</w:t>
      </w:r>
    </w:p>
    <w:p>
      <w:pPr>
        <w:spacing w:after="140" w:line="276"/>
        <w:jc w:val="left"/>
      </w:pPr>
      <w:r>
        <w:rPr>
          <w:rFonts w:ascii="Arial" w:cs="Arial" w:eastAsia="Arial" w:hAnsi="Arial"/>
          <w:b/>
          <w:bCs/>
          <w:sz w:val="21"/>
          <w:szCs w:val="21"/>
        </w:rPr>
        <w:t xml:space="preserve">What we do.</w:t>
      </w:r>
      <w:r>
        <w:rPr>
          <w:rFonts w:ascii="Arial" w:cs="Arial" w:eastAsia="Arial" w:hAnsi="Arial"/>
          <w:sz w:val="21"/>
          <w:szCs w:val="21"/>
        </w:rPr>
        <w:t xml:space="preserve"> Privacy-by-design counselling for new features and experiments; data protection impact assessments; lawful-basis and consent architecture for personalization, advertising and measurement; children's and age-assurance rules; cookies and tracking technologies; cross-border transfers; data processing agreements; data subject rights processes; incident response; and engagement with data protection authorities.</w:t>
      </w:r>
    </w:p>
    <w:p>
      <w:pPr>
        <w:spacing w:after="140" w:line="276"/>
        <w:jc w:val="left"/>
      </w:pPr>
      <w:r>
        <w:rPr>
          <w:rFonts w:ascii="Arial" w:cs="Arial" w:eastAsia="Arial" w:hAnsi="Arial"/>
          <w:b/>
          <w:bCs/>
          <w:sz w:val="21"/>
          <w:szCs w:val="21"/>
        </w:rPr>
        <w:t xml:space="preserve">How we deliver.</w:t>
      </w:r>
      <w:r>
        <w:rPr>
          <w:rFonts w:ascii="Arial" w:cs="Arial" w:eastAsia="Arial" w:hAnsi="Arial"/>
          <w:sz w:val="21"/>
          <w:szCs w:val="21"/>
        </w:rPr>
        <w:t xml:space="preserve"> A "global privacy answer" format: a one-page recommendation supported by a jurisdiction matrix that flags only where local law diverges from the global position. We maintain a live regulatory tracker for the privacy regimes relevant to Netflix and brief the Netflix privacy team monthly on changes that require product action.</w:t>
      </w:r>
    </w:p>
    <w:p>
      <w:pPr>
        <w:pStyle w:val="Heading2"/>
        <w:keepNext/>
        <w:spacing w:after="120" w:before="240"/>
      </w:pPr>
      <w:r>
        <w:t xml:space="preserve">5.3 Consumer protection</w:t>
      </w:r>
    </w:p>
    <w:p>
      <w:pPr>
        <w:spacing w:after="140" w:line="276"/>
        <w:jc w:val="left"/>
      </w:pPr>
      <w:r>
        <w:rPr>
          <w:rFonts w:ascii="Arial" w:cs="Arial" w:eastAsia="Arial" w:hAnsi="Arial"/>
          <w:b/>
          <w:bCs/>
          <w:sz w:val="21"/>
          <w:szCs w:val="21"/>
        </w:rPr>
        <w:t xml:space="preserve">What we do.</w:t>
      </w:r>
      <w:r>
        <w:rPr>
          <w:rFonts w:ascii="Arial" w:cs="Arial" w:eastAsia="Arial" w:hAnsi="Arial"/>
          <w:sz w:val="21"/>
          <w:szCs w:val="21"/>
        </w:rPr>
        <w:t xml:space="preserve"> Subscription, free trial, auto-renewal, price-change and cancellation flows; terms of use and end-user licence terms; unfair terms and transparency rules; dark-pattern and choice-architecture enforcement trends; games, in-app purchase and loot-box rules; accessibility obligations; platform and digital-services regulation; and responses to consumer regulators and ombudsmen.</w:t>
      </w:r>
    </w:p>
    <w:p>
      <w:pPr>
        <w:spacing w:after="140" w:line="276"/>
        <w:jc w:val="left"/>
      </w:pPr>
      <w:r>
        <w:rPr>
          <w:rFonts w:ascii="Arial" w:cs="Arial" w:eastAsia="Arial" w:hAnsi="Arial"/>
          <w:b/>
          <w:bCs/>
          <w:sz w:val="21"/>
          <w:szCs w:val="21"/>
        </w:rPr>
        <w:t xml:space="preserve">How we deliver.</w:t>
      </w:r>
      <w:r>
        <w:rPr>
          <w:rFonts w:ascii="Arial" w:cs="Arial" w:eastAsia="Arial" w:hAnsi="Arial"/>
          <w:sz w:val="21"/>
          <w:szCs w:val="21"/>
        </w:rPr>
        <w:t xml:space="preserve"> Screen-level reviews of user flows with annotated screenshots, so product managers and designers receive advice they can implement directly. Findings are rated red, amber or green, and only red items are launch-blocking.</w:t>
      </w:r>
    </w:p>
    <w:p>
      <w:pPr>
        <w:pStyle w:val="Heading2"/>
        <w:keepNext/>
        <w:spacing w:after="120" w:before="240"/>
      </w:pPr>
      <w:r>
        <w:t xml:space="preserve">5.4 Marketing compliance</w:t>
      </w:r>
    </w:p>
    <w:p>
      <w:pPr>
        <w:spacing w:after="140" w:line="276"/>
        <w:jc w:val="left"/>
      </w:pPr>
      <w:r>
        <w:rPr>
          <w:rFonts w:ascii="Arial" w:cs="Arial" w:eastAsia="Arial" w:hAnsi="Arial"/>
          <w:b/>
          <w:bCs/>
          <w:sz w:val="21"/>
          <w:szCs w:val="21"/>
        </w:rPr>
        <w:t xml:space="preserve">What we do.</w:t>
      </w:r>
      <w:r>
        <w:rPr>
          <w:rFonts w:ascii="Arial" w:cs="Arial" w:eastAsia="Arial" w:hAnsi="Arial"/>
          <w:sz w:val="21"/>
          <w:szCs w:val="21"/>
        </w:rPr>
        <w:t xml:space="preserve"> Advertising standards and claims substantiation; promotions, sweepstakes and contests; influencer, endorsement and disclosure rules; email, push and SMS marketing rules; ad-supported tier and ad-tech compliance; brand partnerships and co-marketing; and pre-clearance of campaigns.</w:t>
      </w:r>
    </w:p>
    <w:p>
      <w:pPr>
        <w:spacing w:after="140" w:line="276"/>
        <w:jc w:val="left"/>
      </w:pPr>
      <w:r>
        <w:rPr>
          <w:rFonts w:ascii="Arial" w:cs="Arial" w:eastAsia="Arial" w:hAnsi="Arial"/>
          <w:b/>
          <w:bCs/>
          <w:sz w:val="21"/>
          <w:szCs w:val="21"/>
        </w:rPr>
        <w:t xml:space="preserve">How we deliver.</w:t>
      </w:r>
      <w:r>
        <w:rPr>
          <w:rFonts w:ascii="Arial" w:cs="Arial" w:eastAsia="Arial" w:hAnsi="Arial"/>
          <w:sz w:val="21"/>
          <w:szCs w:val="21"/>
        </w:rPr>
        <w:t xml:space="preserve"> A marketing playbook tailored to Netflix, updated quarterly, that lets Netflix marketers self-serve on routine questions and reserve outside counsel time for the genuinely novel. Campaign pre-clearance is offered at a fixed fee per campaign.</w:t>
      </w:r>
    </w:p>
    <w:p>
      <w:pPr>
        <w:pStyle w:val="Heading2"/>
        <w:keepNext/>
        <w:spacing w:after="120" w:before="240"/>
      </w:pPr>
      <w:r>
        <w:t xml:space="preserve">5.5 Product contracts and time-sensitive negotiations</w:t>
      </w:r>
    </w:p>
    <w:p>
      <w:pPr>
        <w:spacing w:after="140" w:line="276"/>
        <w:jc w:val="left"/>
      </w:pPr>
      <w:r>
        <w:rPr>
          <w:rFonts w:ascii="Arial" w:cs="Arial" w:eastAsia="Arial" w:hAnsi="Arial"/>
          <w:b/>
          <w:bCs/>
          <w:sz w:val="21"/>
          <w:szCs w:val="21"/>
        </w:rPr>
        <w:t xml:space="preserve">What we do.</w:t>
      </w:r>
      <w:r>
        <w:rPr>
          <w:rFonts w:ascii="Arial" w:cs="Arial" w:eastAsia="Arial" w:hAnsi="Arial"/>
          <w:sz w:val="21"/>
          <w:szCs w:val="21"/>
        </w:rPr>
        <w:t xml:space="preserve"> Device, platform and distribution partnerships; technology and content-delivery licensing; SaaS, cloud and infrastructure procurement; developer, API and games publishing terms; data processing and security schedules; and negotiation support against counterparties of any size.</w:t>
      </w:r>
    </w:p>
    <w:p>
      <w:pPr>
        <w:spacing w:after="140" w:line="276"/>
        <w:jc w:val="left"/>
      </w:pPr>
      <w:r>
        <w:rPr>
          <w:rFonts w:ascii="Arial" w:cs="Arial" w:eastAsia="Arial" w:hAnsi="Arial"/>
          <w:b/>
          <w:bCs/>
          <w:sz w:val="21"/>
          <w:szCs w:val="21"/>
        </w:rPr>
        <w:t xml:space="preserve">How we deliver.</w:t>
      </w:r>
      <w:r>
        <w:rPr>
          <w:rFonts w:ascii="Arial" w:cs="Arial" w:eastAsia="Arial" w:hAnsi="Arial"/>
          <w:sz w:val="21"/>
          <w:szCs w:val="21"/>
        </w:rPr>
        <w:t xml:space="preserve"> Netflix-approved playbooks and fallback positions so that first drafts and mark-ups arrive within 48 hours; capped fees per contract type; and a negotiation lead who stays on the call from kick-off to signature. For genuinely time-sensitive negotiations we commit to same-day turnaround of counterparty mark-ups.</w:t>
      </w:r>
    </w:p>
    <w:p>
      <w:pPr>
        <w:pStyle w:val="Heading2"/>
        <w:keepNext/>
        <w:spacing w:after="120" w:before="240"/>
      </w:pPr>
      <w:r>
        <w:t xml:space="preserve">5.6 Regulatory inquiries</w:t>
      </w:r>
    </w:p>
    <w:p>
      <w:pPr>
        <w:spacing w:after="140" w:line="276"/>
        <w:jc w:val="left"/>
      </w:pPr>
      <w:r>
        <w:rPr>
          <w:rFonts w:ascii="Arial" w:cs="Arial" w:eastAsia="Arial" w:hAnsi="Arial"/>
          <w:b/>
          <w:bCs/>
          <w:sz w:val="21"/>
          <w:szCs w:val="21"/>
        </w:rPr>
        <w:t xml:space="preserve">What we do.</w:t>
      </w:r>
      <w:r>
        <w:rPr>
          <w:rFonts w:ascii="Arial" w:cs="Arial" w:eastAsia="Arial" w:hAnsi="Arial"/>
          <w:sz w:val="21"/>
          <w:szCs w:val="21"/>
        </w:rPr>
        <w:t xml:space="preserve"> Coordinated responses to information requests, investigations, audits and consultations from privacy, consumer, telecommunications, media and competition regulators across jurisdictions; preparation of Netflix witnesses; and strategic engagement with regulators on forthcoming rules.</w:t>
      </w:r>
    </w:p>
    <w:p>
      <w:pPr>
        <w:spacing w:after="140" w:line="276"/>
        <w:jc w:val="left"/>
      </w:pPr>
      <w:r>
        <w:rPr>
          <w:rFonts w:ascii="Arial" w:cs="Arial" w:eastAsia="Arial" w:hAnsi="Arial"/>
          <w:b/>
          <w:bCs/>
          <w:sz w:val="21"/>
          <w:szCs w:val="21"/>
        </w:rPr>
        <w:t xml:space="preserve">How we deliver.</w:t>
      </w:r>
      <w:r>
        <w:rPr>
          <w:rFonts w:ascii="Arial" w:cs="Arial" w:eastAsia="Arial" w:hAnsi="Arial"/>
          <w:sz w:val="21"/>
          <w:szCs w:val="21"/>
        </w:rPr>
        <w:t xml:space="preserve"> A single response coordinator, a consistent narrative across every jurisdiction, and a war-room protocol for deadlines under ten business days. Where a matter becomes contentious, we bill by the litigation phase task codes (L100–L500) exactly as the Guidelines require.</w:t>
      </w:r>
    </w:p>
    <w:p>
      <w:pPr>
        <w:pStyle w:val="Heading2"/>
        <w:keepNext/>
        <w:spacing w:after="120" w:before="240"/>
      </w:pPr>
      <w:r>
        <w:t xml:space="preserve">5.7 Legal translation and localization</w:t>
      </w:r>
    </w:p>
    <w:p>
      <w:pPr>
        <w:spacing w:after="140" w:line="276"/>
        <w:jc w:val="left"/>
      </w:pPr>
      <w:r>
        <w:rPr>
          <w:rFonts w:ascii="Arial" w:cs="Arial" w:eastAsia="Arial" w:hAnsi="Arial"/>
          <w:sz w:val="21"/>
          <w:szCs w:val="21"/>
        </w:rPr>
        <w:t xml:space="preserve">Netflix has set specific expectations for translation work, and we have designed a dedicated desk around them.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060"/>
      </w:tblGrid>
      <w:tr>
        <w:trPr>
          <w:cantSplit/>
          <w:tblHeader/>
        </w:trPr>
        <w:tc>
          <w:tcPr>
            <w:tcW w:type="dxa" w:w="33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Netflix expectation</w:t>
            </w:r>
          </w:p>
        </w:tc>
        <w:tc>
          <w:tcPr>
            <w:tcW w:type="dxa" w:w="60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Dentons KMN practice</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Multilingual attorneys</w:t>
            </w:r>
          </w:p>
        </w:tc>
        <w:tc>
          <w:tcPr>
            <w:tcW w:type="dxa" w:w="60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Translation is performed and reviewed only by qualified lawyers who are native or near-native speakers of the target language and trained in the relevant legal system</w:t>
            </w:r>
          </w:p>
        </w:tc>
      </w:tr>
      <w:tr>
        <w:trPr>
          <w:cantSplit/>
          <w:tblHeader w:val="false"/>
        </w:trPr>
        <w:tc>
          <w:tcPr>
            <w:tcW w:type="dxa" w:w="3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Work directly within Netflix's internal translation and localization tools</w:t>
            </w:r>
          </w:p>
        </w:tc>
        <w:tc>
          <w:tcPr>
            <w:tcW w:type="dxa" w:w="60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Our attorney-translators are onboarded to Netflix's tools, follow Netflix's workflow states and never take Netflix content outside the Netflix environment</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Adhere closely to the Netflix glossary</w:t>
            </w:r>
          </w:p>
        </w:tc>
        <w:tc>
          <w:tcPr>
            <w:tcW w:type="dxa" w:w="60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The glossary is loaded into our terminology checks; every deliverable passes an automated glossary-conformance check before legal QA; proposed glossary additions are submitted to Netflix for approval rather than applied unilaterally</w:t>
            </w:r>
          </w:p>
        </w:tc>
      </w:tr>
      <w:tr>
        <w:trPr>
          <w:cantSplit/>
          <w:tblHeader w:val="false"/>
        </w:trPr>
        <w:tc>
          <w:tcPr>
            <w:tcW w:type="dxa" w:w="3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Feedback focused on substantive legal accuracy, not style or preference</w:t>
            </w:r>
          </w:p>
        </w:tc>
        <w:tc>
          <w:tcPr>
            <w:tcW w:type="dxa" w:w="60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written "substantive-only" rule: feedback is limited to legal meaning, enforceability, mandatory local-law wording and regulatory terminology; stylistic comments are not made unless Netflix asks</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Consistency across languages and jurisdictions</w:t>
            </w:r>
          </w:p>
        </w:tc>
        <w:tc>
          <w:tcPr>
            <w:tcW w:type="dxa" w:w="60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source-language legal lead aligns meaning across all target languages before individual translations begin, so local versions do not drift</w:t>
            </w:r>
          </w:p>
        </w:tc>
      </w:tr>
      <w:tr>
        <w:trPr>
          <w:cantSplit/>
          <w:tblHeader w:val="false"/>
        </w:trPr>
        <w:tc>
          <w:tcPr>
            <w:tcW w:type="dxa" w:w="3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Predictable turnaround and cost</w:t>
            </w:r>
          </w:p>
        </w:tc>
        <w:tc>
          <w:tcPr>
            <w:tcW w:type="dxa" w:w="60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Fixed fees per 1,000 source words by language tier, standard turnaround of 2 business days for documents up to 3,000 words, and a rush option</w:t>
            </w:r>
          </w:p>
        </w:tc>
      </w:tr>
    </w:tbl>
    <w:p>
      <w:pPr>
        <w:spacing w:after="120"/>
      </w:pPr>
    </w:p>
    <w:p>
      <w:pPr>
        <w:spacing w:after="140" w:line="276"/>
        <w:jc w:val="left"/>
      </w:pPr>
      <w:r>
        <w:rPr>
          <w:rFonts w:ascii="Arial" w:cs="Arial" w:eastAsia="Arial" w:hAnsi="Arial"/>
          <w:b/>
          <w:bCs/>
          <w:sz w:val="21"/>
          <w:szCs w:val="21"/>
        </w:rPr>
        <w:t xml:space="preserve">Quality workflow.</w:t>
      </w:r>
      <w:r>
        <w:rPr>
          <w:rFonts w:ascii="Arial" w:cs="Arial" w:eastAsia="Arial" w:hAnsi="Arial"/>
          <w:sz w:val="21"/>
          <w:szCs w:val="21"/>
        </w:rPr>
        <w:t xml:space="preserve"> (1) Intake and glossary check; (2) attorney translation or legal review of an existing localization; (3) independent second-attorney legal QA; (4) automated consistency and glossary check; (5) delivery in Netflix's tool with a short substantive-issues note. We measure a substantive error rate on every batch and report it in the quarterly dashboard.</w:t>
      </w:r>
    </w:p>
    <w:p>
      <w:pPr>
        <w:spacing w:after="140" w:line="276"/>
        <w:jc w:val="left"/>
      </w:pPr>
      <w:r>
        <w:rPr>
          <w:rFonts w:ascii="Arial" w:cs="Arial" w:eastAsia="Arial" w:hAnsi="Arial"/>
          <w:sz w:val="21"/>
          <w:szCs w:val="21"/>
        </w:rPr>
        <w:t xml:space="preserve">Routine translation of day-to-day communications is not charged, consistent with Section I.F of the Guidelines. Our translation fees apply only to legal documents Netflix asks us to translate or review.</w:t>
      </w:r>
    </w:p>
    <w:p>
      <w:r>
        <w:br w:type="page"/>
      </w:r>
    </w:p>
    <w:p>
      <w:pPr>
        <w:pStyle w:val="Heading1"/>
        <w:keepNext/>
        <w:spacing w:after="160" w:before="360"/>
      </w:pPr>
      <w:r>
        <w:t xml:space="preserve">6. Communication and Responsiveness</w:t>
      </w:r>
    </w:p>
    <w:p>
      <w:pPr>
        <w:spacing w:after="140" w:line="276"/>
        <w:jc w:val="left"/>
      </w:pPr>
      <w:r>
        <w:rPr>
          <w:rFonts w:ascii="Arial" w:cs="Arial" w:eastAsia="Arial" w:hAnsi="Arial"/>
          <w:sz w:val="21"/>
          <w:szCs w:val="21"/>
        </w:rPr>
        <w:t xml:space="preserve">Netflix will assess responsiveness, clarity, objectivity and the ability to turn complex legal issues into practical terms that apply directly to Netflix's services and products. Our service standards are set out below and will be reported against every quarter.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cantSplit/>
          <w:tblHeader/>
        </w:trPr>
        <w:tc>
          <w:tcPr>
            <w:tcW w:type="dxa" w:w="26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Standard</w:t>
            </w:r>
          </w:p>
        </w:tc>
        <w:tc>
          <w:tcPr>
            <w:tcW w:type="dxa" w:w="67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Commitment</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Acknowledgement</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Every new request acknowledged within 2 business hours, naming the responsible lawyer and the expected delivery time</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Routine advisory response</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1 business day</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Urgent response</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Interim view within 4 hours; full response the same business day</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Contract first drafts and mark-ups</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Within 48 hours; same day for time-sensitive negotiations</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Format</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Lead with the answer. One-page advice notes with a recommendation, a red/amber/green risk rating and the "so what" for the product; detail in an annex only where needed</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Language</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Plain English, no jargon, no unnecessary caveats; local-law nuance expressed as a practical instruction, not a treatise</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Channels</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Netflix's preferred channels, including a shared Netflix–Dentons workspace, video calls and a dedicated Netflix mailbox; no public comment on any matter, ever, without written authorization</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Objectivity</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Where the law is unsettled we say so, give our best judgement of likely outcomes, and distinguish clearly between legal risk and business risk</w:t>
            </w:r>
          </w:p>
        </w:tc>
      </w:tr>
    </w:tbl>
    <w:p>
      <w:pPr>
        <w:spacing w:after="120"/>
      </w:pPr>
    </w:p>
    <w:p>
      <w:pPr>
        <w:spacing w:after="140" w:line="276"/>
        <w:jc w:val="left"/>
      </w:pPr>
      <w:r>
        <w:rPr>
          <w:rFonts w:ascii="Arial" w:cs="Arial" w:eastAsia="Arial" w:hAnsi="Arial"/>
          <w:sz w:val="21"/>
          <w:szCs w:val="21"/>
        </w:rPr>
        <w:t xml:space="preserve">We also propose a fortnightly 30-minute stand-up with the Netflix Matter Leads to review open items, upcoming launches and priorities, so that work is sequenced around Netflix's roadmap rather than ours.</w:t>
      </w:r>
    </w:p>
    <w:p>
      <w:pPr>
        <w:pStyle w:val="Heading1"/>
        <w:keepNext/>
        <w:spacing w:after="160" w:before="360"/>
      </w:pPr>
      <w:r>
        <w:t xml:space="preserve">7. Transparency and Partnership</w:t>
      </w:r>
    </w:p>
    <w:p>
      <w:pPr>
        <w:spacing w:after="140" w:line="276"/>
        <w:jc w:val="left"/>
      </w:pPr>
      <w:r>
        <w:rPr>
          <w:rFonts w:ascii="Arial" w:cs="Arial" w:eastAsia="Arial" w:hAnsi="Arial"/>
          <w:sz w:val="21"/>
          <w:szCs w:val="21"/>
        </w:rPr>
        <w:t xml:space="preserve">Netflix has asked for a partner who communicates openly about successes and setbacks, shares learnings, is direct about risks and limitations, and maintains an honest dialogue on performance, strategy and improvement. These are the mechanisms we will use.</w:t>
      </w:r>
    </w:p>
    <w:p>
      <w:pPr>
        <w:pStyle w:val="ListParagraph"/>
        <w:numPr>
          <w:ilvl w:val="0"/>
          <w:numId w:val="2"/>
        </w:numPr>
        <w:spacing w:after="80" w:line="264"/>
      </w:pPr>
      <w:r>
        <w:rPr>
          <w:rFonts w:ascii="Arial" w:cs="Arial" w:eastAsia="Arial" w:hAnsi="Arial"/>
          <w:b/>
          <w:bCs/>
          <w:sz w:val="21"/>
          <w:szCs w:val="21"/>
        </w:rPr>
        <w:t xml:space="preserve">Written risk ratings.</w:t>
      </w:r>
      <w:r>
        <w:rPr>
          <w:rFonts w:ascii="Arial" w:cs="Arial" w:eastAsia="Arial" w:hAnsi="Arial"/>
          <w:sz w:val="21"/>
          <w:szCs w:val="21"/>
        </w:rPr>
        <w:t xml:space="preserve"> Every piece of advice carries an explicit risk rating and confidence level so that Netflix can see not only what we recommend but how sure we are.</w:t>
      </w:r>
    </w:p>
    <w:p>
      <w:pPr>
        <w:pStyle w:val="ListParagraph"/>
        <w:numPr>
          <w:ilvl w:val="0"/>
          <w:numId w:val="2"/>
        </w:numPr>
        <w:spacing w:after="80" w:line="264"/>
      </w:pPr>
      <w:r>
        <w:rPr>
          <w:rFonts w:ascii="Arial" w:cs="Arial" w:eastAsia="Arial" w:hAnsi="Arial"/>
          <w:b/>
          <w:bCs/>
          <w:sz w:val="21"/>
          <w:szCs w:val="21"/>
        </w:rPr>
        <w:t xml:space="preserve">"No surprises" budgeting.</w:t>
      </w:r>
      <w:r>
        <w:rPr>
          <w:rFonts w:ascii="Arial" w:cs="Arial" w:eastAsia="Arial" w:hAnsi="Arial"/>
          <w:sz w:val="21"/>
          <w:szCs w:val="21"/>
        </w:rPr>
        <w:t xml:space="preserve"> Every matter above 5 hours receives an estimate in writing; we alert the Matter Lead at 75% of budget and never exceed an estimate without prior approval.</w:t>
      </w:r>
    </w:p>
    <w:p>
      <w:pPr>
        <w:pStyle w:val="ListParagraph"/>
        <w:numPr>
          <w:ilvl w:val="0"/>
          <w:numId w:val="2"/>
        </w:numPr>
        <w:spacing w:after="80" w:line="264"/>
      </w:pPr>
      <w:r>
        <w:rPr>
          <w:rFonts w:ascii="Arial" w:cs="Arial" w:eastAsia="Arial" w:hAnsi="Arial"/>
          <w:b/>
          <w:bCs/>
          <w:sz w:val="21"/>
          <w:szCs w:val="21"/>
        </w:rPr>
        <w:t xml:space="preserve">Post-matter debriefs.</w:t>
      </w:r>
      <w:r>
        <w:rPr>
          <w:rFonts w:ascii="Arial" w:cs="Arial" w:eastAsia="Arial" w:hAnsi="Arial"/>
          <w:sz w:val="21"/>
          <w:szCs w:val="21"/>
        </w:rPr>
        <w:t xml:space="preserve"> For every significant negotiation, regulatory response or launch review we send a short debrief: what went well, what did not, and what we would do differently.</w:t>
      </w:r>
    </w:p>
    <w:p>
      <w:pPr>
        <w:pStyle w:val="ListParagraph"/>
        <w:numPr>
          <w:ilvl w:val="0"/>
          <w:numId w:val="2"/>
        </w:numPr>
        <w:spacing w:after="80" w:line="264"/>
      </w:pPr>
      <w:r>
        <w:rPr>
          <w:rFonts w:ascii="Arial" w:cs="Arial" w:eastAsia="Arial" w:hAnsi="Arial"/>
          <w:b/>
          <w:bCs/>
          <w:sz w:val="21"/>
          <w:szCs w:val="21"/>
        </w:rPr>
        <w:t xml:space="preserve">Learnings log.</w:t>
      </w:r>
      <w:r>
        <w:rPr>
          <w:rFonts w:ascii="Arial" w:cs="Arial" w:eastAsia="Arial" w:hAnsi="Arial"/>
          <w:sz w:val="21"/>
          <w:szCs w:val="21"/>
        </w:rPr>
        <w:t xml:space="preserve"> A shared log of regulatory developments, enforcement trends and lessons from Netflix matters, reviewed at each quarterly business review.</w:t>
      </w:r>
    </w:p>
    <w:p>
      <w:pPr>
        <w:pStyle w:val="ListParagraph"/>
        <w:numPr>
          <w:ilvl w:val="0"/>
          <w:numId w:val="2"/>
        </w:numPr>
        <w:spacing w:after="80" w:line="264"/>
      </w:pPr>
      <w:r>
        <w:rPr>
          <w:rFonts w:ascii="Arial" w:cs="Arial" w:eastAsia="Arial" w:hAnsi="Arial"/>
          <w:b/>
          <w:bCs/>
          <w:sz w:val="21"/>
          <w:szCs w:val="21"/>
        </w:rPr>
        <w:t xml:space="preserve">Quarterly business reviews.</w:t>
      </w:r>
      <w:r>
        <w:rPr>
          <w:rFonts w:ascii="Arial" w:cs="Arial" w:eastAsia="Arial" w:hAnsi="Arial"/>
          <w:sz w:val="21"/>
          <w:szCs w:val="21"/>
        </w:rPr>
        <w:t xml:space="preserve"> A structured review of KPIs, spend against budget, staffing, upcoming risks and a candid self-assessment by the Relationship Partner, with an invitation for Netflix feedback on the team and on individual lawyers.</w:t>
      </w:r>
    </w:p>
    <w:p>
      <w:pPr>
        <w:pStyle w:val="ListParagraph"/>
        <w:numPr>
          <w:ilvl w:val="0"/>
          <w:numId w:val="2"/>
        </w:numPr>
        <w:spacing w:after="80" w:line="264"/>
      </w:pPr>
      <w:r>
        <w:rPr>
          <w:rFonts w:ascii="Arial" w:cs="Arial" w:eastAsia="Arial" w:hAnsi="Arial"/>
          <w:b/>
          <w:bCs/>
          <w:sz w:val="21"/>
          <w:szCs w:val="21"/>
        </w:rPr>
        <w:t xml:space="preserve">Own our mistakes.</w:t>
      </w:r>
      <w:r>
        <w:rPr>
          <w:rFonts w:ascii="Arial" w:cs="Arial" w:eastAsia="Arial" w:hAnsi="Arial"/>
          <w:sz w:val="21"/>
          <w:szCs w:val="21"/>
        </w:rPr>
        <w:t xml:space="preserve"> If we make an error, we tell the Matter Lead immediately, correct it at our cost and record it in the learnings log.</w:t>
      </w:r>
    </w:p>
    <w:p>
      <w:pPr>
        <w:pStyle w:val="ListParagraph"/>
        <w:numPr>
          <w:ilvl w:val="0"/>
          <w:numId w:val="2"/>
        </w:numPr>
        <w:spacing w:after="80" w:line="264"/>
      </w:pPr>
      <w:r>
        <w:rPr>
          <w:rFonts w:ascii="Arial" w:cs="Arial" w:eastAsia="Arial" w:hAnsi="Arial"/>
          <w:b/>
          <w:bCs/>
          <w:sz w:val="21"/>
          <w:szCs w:val="21"/>
        </w:rPr>
        <w:t xml:space="preserve">Conflicts and independence.</w:t>
      </w:r>
      <w:r>
        <w:rPr>
          <w:rFonts w:ascii="Arial" w:cs="Arial" w:eastAsia="Arial" w:hAnsi="Arial"/>
          <w:sz w:val="21"/>
          <w:szCs w:val="21"/>
        </w:rPr>
        <w:t xml:space="preserve"> Existing or prospective engagements that could create an actual or potential conflict will be disclosed to Netflix promptly; we will not seek advance, general or litigation waivers.</w:t>
      </w:r>
    </w:p>
    <w:p>
      <w:r>
        <w:br w:type="page"/>
      </w:r>
    </w:p>
    <w:p>
      <w:pPr>
        <w:pStyle w:val="Heading1"/>
        <w:keepNext/>
        <w:spacing w:after="160" w:before="360"/>
      </w:pPr>
      <w:r>
        <w:t xml:space="preserve">8. Technical Quality and Strategic Counsel</w:t>
      </w:r>
    </w:p>
    <w:p>
      <w:pPr>
        <w:spacing w:after="140" w:line="276"/>
        <w:jc w:val="left"/>
      </w:pPr>
      <w:r>
        <w:rPr>
          <w:rFonts w:ascii="Arial" w:cs="Arial" w:eastAsia="Arial" w:hAnsi="Arial"/>
          <w:sz w:val="21"/>
          <w:szCs w:val="21"/>
        </w:rPr>
        <w:t xml:space="preserve">Netflix will evaluate our experience and track record in product and technology law, the consistency of our legal arguments, and our capacity for strategic, proactive counsel.</w:t>
      </w:r>
    </w:p>
    <w:p>
      <w:pPr>
        <w:pStyle w:val="Heading2"/>
        <w:keepNext/>
        <w:spacing w:after="120" w:before="240"/>
      </w:pPr>
      <w:r>
        <w:t xml:space="preserve">8.1 Consistency</w:t>
      </w:r>
    </w:p>
    <w:p>
      <w:pPr>
        <w:pStyle w:val="ListParagraph"/>
        <w:numPr>
          <w:ilvl w:val="0"/>
          <w:numId w:val="2"/>
        </w:numPr>
        <w:spacing w:after="80" w:line="264"/>
      </w:pPr>
      <w:r>
        <w:rPr>
          <w:rFonts w:ascii="Arial" w:cs="Arial" w:eastAsia="Arial" w:hAnsi="Arial"/>
          <w:sz w:val="21"/>
          <w:szCs w:val="21"/>
        </w:rPr>
        <w:t xml:space="preserve">A Netflix knowledge bank of positions taken, precedents, playbooks and jurisdiction matrices, maintained by the Relationship Partner, so that advice is consistent across lawyers, offices and time.</w:t>
      </w:r>
    </w:p>
    <w:p>
      <w:pPr>
        <w:pStyle w:val="ListParagraph"/>
        <w:numPr>
          <w:ilvl w:val="0"/>
          <w:numId w:val="2"/>
        </w:numPr>
        <w:spacing w:after="80" w:line="264"/>
      </w:pPr>
      <w:r>
        <w:rPr>
          <w:rFonts w:ascii="Arial" w:cs="Arial" w:eastAsia="Arial" w:hAnsi="Arial"/>
          <w:sz w:val="21"/>
          <w:szCs w:val="21"/>
        </w:rPr>
        <w:t xml:space="preserve">Partner sign-off on all advice and all contract positions before delivery; two-attorney QA on all translations.</w:t>
      </w:r>
    </w:p>
    <w:p>
      <w:pPr>
        <w:pStyle w:val="ListParagraph"/>
        <w:numPr>
          <w:ilvl w:val="0"/>
          <w:numId w:val="2"/>
        </w:numPr>
        <w:spacing w:after="80" w:line="264"/>
      </w:pPr>
      <w:r>
        <w:rPr>
          <w:rFonts w:ascii="Arial" w:cs="Arial" w:eastAsia="Arial" w:hAnsi="Arial"/>
          <w:sz w:val="21"/>
          <w:szCs w:val="21"/>
        </w:rPr>
        <w:t xml:space="preserve">A single global answer as the default, with local divergence flagged explicitly rather than delivered as separate country memos.</w:t>
      </w:r>
    </w:p>
    <w:p>
      <w:pPr>
        <w:pStyle w:val="Heading2"/>
        <w:keepNext/>
        <w:spacing w:after="120" w:before="240"/>
      </w:pPr>
      <w:r>
        <w:t xml:space="preserve">8.2 Proactive counsel</w:t>
      </w:r>
    </w:p>
    <w:p>
      <w:pPr>
        <w:pStyle w:val="ListParagraph"/>
        <w:numPr>
          <w:ilvl w:val="0"/>
          <w:numId w:val="2"/>
        </w:numPr>
        <w:spacing w:after="80" w:line="264"/>
      </w:pPr>
      <w:r>
        <w:rPr>
          <w:rFonts w:ascii="Arial" w:cs="Arial" w:eastAsia="Arial" w:hAnsi="Arial"/>
          <w:sz w:val="21"/>
          <w:szCs w:val="21"/>
        </w:rPr>
        <w:t xml:space="preserve">Monthly horizon-scanning briefings covering privacy, consumer, advertising, platform, games and IP developments in Netflix's key markets, each item tagged with the product action it may require and a proposed timeline.</w:t>
      </w:r>
    </w:p>
    <w:p>
      <w:pPr>
        <w:pStyle w:val="ListParagraph"/>
        <w:numPr>
          <w:ilvl w:val="0"/>
          <w:numId w:val="2"/>
        </w:numPr>
        <w:spacing w:after="80" w:line="264"/>
      </w:pPr>
      <w:r>
        <w:rPr>
          <w:rFonts w:ascii="Arial" w:cs="Arial" w:eastAsia="Arial" w:hAnsi="Arial"/>
          <w:sz w:val="21"/>
          <w:szCs w:val="21"/>
        </w:rPr>
        <w:t xml:space="preserve">An annual "product legal health check" reviewing subscription flows, privacy notices, marketing practices and key contract templates against the year's regulatory changes.</w:t>
      </w:r>
    </w:p>
    <w:p>
      <w:pPr>
        <w:pStyle w:val="ListParagraph"/>
        <w:numPr>
          <w:ilvl w:val="0"/>
          <w:numId w:val="2"/>
        </w:numPr>
        <w:spacing w:after="80" w:line="264"/>
      </w:pPr>
      <w:r>
        <w:rPr>
          <w:rFonts w:ascii="Arial" w:cs="Arial" w:eastAsia="Arial" w:hAnsi="Arial"/>
          <w:sz w:val="21"/>
          <w:szCs w:val="21"/>
        </w:rPr>
        <w:t xml:space="preserve">Early-warning notes on enforcement trends, drawn from our work across the technology and media sectors, so that Netflix can adjust before a regulator asks.</w:t>
      </w:r>
    </w:p>
    <w:p>
      <w:pPr>
        <w:pStyle w:val="Heading2"/>
        <w:keepNext/>
        <w:spacing w:after="120" w:before="240"/>
      </w:pPr>
      <w:r>
        <w:t xml:space="preserve">8.3 Quality assurance</w:t>
      </w:r>
    </w:p>
    <w:p>
      <w:pPr>
        <w:spacing w:after="140" w:line="276"/>
        <w:jc w:val="left"/>
      </w:pPr>
      <w:r>
        <w:rPr>
          <w:rFonts w:ascii="Arial" w:cs="Arial" w:eastAsia="Arial" w:hAnsi="Arial"/>
          <w:sz w:val="21"/>
          <w:szCs w:val="21"/>
        </w:rPr>
        <w:t xml:space="preserve">Every deliverable is reviewed by a second lawyer before it leaves the firm. Complex or novel questions are reviewed by a practice lead. We track quality through the KPI scorecard in Section 15, including a substantive error rate on translations and Netflix satisfaction scores collected at each quarterly review.</w:t>
      </w:r>
    </w:p>
    <w:p>
      <w:pPr>
        <w:pStyle w:val="Heading1"/>
        <w:keepNext/>
        <w:spacing w:after="160" w:before="360"/>
      </w:pPr>
      <w:r>
        <w:t xml:space="preserve">9. Tools and Technology</w:t>
      </w:r>
    </w:p>
    <w:p>
      <w:pPr>
        <w:spacing w:after="140" w:line="276"/>
        <w:jc w:val="left"/>
      </w:pPr>
      <w:r>
        <w:rPr>
          <w:rFonts w:ascii="Arial" w:cs="Arial" w:eastAsia="Arial" w:hAnsi="Arial"/>
          <w:sz w:val="21"/>
          <w:szCs w:val="21"/>
        </w:rPr>
        <w:t xml:space="preserve">Netflix values the efficient use of case management systems, artificial intelligence, automation and dashboards that enable real-time tracking, generate clear performance indicators and drive productivity. Our technology stack for Netflix is described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cantSplit/>
          <w:tblHeader/>
        </w:trPr>
        <w:tc>
          <w:tcPr>
            <w:tcW w:type="dxa" w:w="26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Capability</w:t>
            </w:r>
          </w:p>
        </w:tc>
        <w:tc>
          <w:tcPr>
            <w:tcW w:type="dxa" w:w="67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What Netflix gets</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Matter and workflow management</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Every Netflix request logged as a matter with owner, status, deadline, budget and estimate; Netflix Matter Leads can see status in real time</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 client dashboard</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Live view of open matters, work in progress, spend against budget by matter and practice area, accrual position, KPI performance and translation throughput; refreshed daily and reviewed at each quarterly business review</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eBilling integration</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LEDES 1998B (and 98BI for international billing) generated directly from our practice management system with Netflix task codes and a PDF backup on our letterhead; a pre-submission compliance check screens every invoice against the Guidelines before upload to Legal Tracker</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Contract automation</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Netflix-approved templates and playbooks in our document automation platform, producing first drafts within hours and reducing review time</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Translation technology</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Terminology management and automated glossary-conformance checks; work performed inside Netflix's localization tools rather than exported</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Regulatory tracking</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 monitored tracker of legislative and enforcement developments across Netflix's markets, feeding the monthly briefing</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Secure collaboration</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An encrypted client workspace for document exchange, with access limited to the Netflix team on a least-privilege basis and full audit logging</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Generative AI</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Approved, enterprise-grade tools with contractual guarantees that Netflix data is not used to train models; used only where they make the work faster or better, and always subject to lawyer review</w:t>
            </w:r>
          </w:p>
        </w:tc>
      </w:tr>
    </w:tbl>
    <w:p>
      <w:pPr>
        <w:spacing w:after="120"/>
      </w:pPr>
    </w:p>
    <w:p>
      <w:pPr>
        <w:pStyle w:val="Heading2"/>
        <w:keepNext/>
        <w:spacing w:after="120" w:before="240"/>
      </w:pPr>
      <w:r>
        <w:t xml:space="preserve">9.1 Our AI commitments to Netflix</w:t>
      </w:r>
    </w:p>
    <w:p>
      <w:pPr>
        <w:pStyle w:val="ListParagraph"/>
        <w:numPr>
          <w:ilvl w:val="0"/>
          <w:numId w:val="2"/>
        </w:numPr>
        <w:spacing w:after="80" w:line="264"/>
      </w:pPr>
      <w:r>
        <w:rPr>
          <w:rFonts w:ascii="Arial" w:cs="Arial" w:eastAsia="Arial" w:hAnsi="Arial"/>
          <w:sz w:val="21"/>
          <w:szCs w:val="21"/>
        </w:rPr>
        <w:t xml:space="preserve">We will consult the Netflix engagement owner before using generative AI tools on Netflix matters and will use only tools approved by the supervising Netflix attorney.</w:t>
      </w:r>
    </w:p>
    <w:p>
      <w:pPr>
        <w:pStyle w:val="ListParagraph"/>
        <w:numPr>
          <w:ilvl w:val="0"/>
          <w:numId w:val="2"/>
        </w:numPr>
        <w:spacing w:after="80" w:line="264"/>
      </w:pPr>
      <w:r>
        <w:rPr>
          <w:rFonts w:ascii="Arial" w:cs="Arial" w:eastAsia="Arial" w:hAnsi="Arial"/>
          <w:sz w:val="21"/>
          <w:szCs w:val="21"/>
        </w:rPr>
        <w:t xml:space="preserve">We will not use Netflix confidential information in any self-learning AI system without Netflix's advance informed consent, requested and given in writing (email is acceptable), consistent with ABA Formal Opinion 512 and Netflix policy.</w:t>
      </w:r>
    </w:p>
    <w:p>
      <w:pPr>
        <w:pStyle w:val="ListParagraph"/>
        <w:numPr>
          <w:ilvl w:val="0"/>
          <w:numId w:val="2"/>
        </w:numPr>
        <w:spacing w:after="80" w:line="264"/>
      </w:pPr>
      <w:r>
        <w:rPr>
          <w:rFonts w:ascii="Arial" w:cs="Arial" w:eastAsia="Arial" w:hAnsi="Arial"/>
          <w:sz w:val="21"/>
          <w:szCs w:val="21"/>
        </w:rPr>
        <w:t xml:space="preserve">Lawyers bill only actual time spent; efficiency gains from AI are passed to Netflix and never charged for. We will not charge Netflix any fees or costs for AI tools or services that have not been approved beforehand by the supervising Netflix attorney.</w:t>
      </w:r>
    </w:p>
    <w:p>
      <w:pPr>
        <w:pStyle w:val="ListParagraph"/>
        <w:numPr>
          <w:ilvl w:val="0"/>
          <w:numId w:val="2"/>
        </w:numPr>
        <w:spacing w:after="80" w:line="264"/>
      </w:pPr>
      <w:r>
        <w:rPr>
          <w:rFonts w:ascii="Arial" w:cs="Arial" w:eastAsia="Arial" w:hAnsi="Arial"/>
          <w:sz w:val="21"/>
          <w:szCs w:val="21"/>
        </w:rPr>
        <w:t xml:space="preserve">Every AI-assisted output is verified by a responsible lawyer before it is relied on or delivered. We comply with applicable law, professional guidance (including the State Bar of California's Practical Guidance where relevant) and ABA Opinion 512, and we monitor developments in AI guidance and update our practices accordingly.</w:t>
      </w:r>
    </w:p>
    <w:p>
      <w:r>
        <w:br w:type="page"/>
      </w:r>
    </w:p>
    <w:p>
      <w:pPr>
        <w:pStyle w:val="Heading1"/>
        <w:keepNext/>
        <w:spacing w:after="160" w:before="360"/>
      </w:pPr>
      <w:r>
        <w:t xml:space="preserve">10. Team Composition, Diversity and Inclusion</w:t>
      </w:r>
    </w:p>
    <w:p>
      <w:pPr>
        <w:spacing w:after="140" w:line="276"/>
        <w:jc w:val="left"/>
      </w:pPr>
      <w:r>
        <w:rPr>
          <w:rFonts w:ascii="Arial" w:cs="Arial" w:eastAsia="Arial" w:hAnsi="Arial"/>
          <w:sz w:val="21"/>
          <w:szCs w:val="21"/>
        </w:rPr>
        <w:t xml:space="preserve">Netflix prioritizes teams that reflect diversity and inclusion across backgrounds, genders and perspectives, and asks its legal vendors to demonstrate the same commitment. We share those values and have assembled the Netflix core team accordingly.</w:t>
      </w:r>
    </w:p>
    <w:p>
      <w:pPr>
        <w:pStyle w:val="ListParagraph"/>
        <w:numPr>
          <w:ilvl w:val="0"/>
          <w:numId w:val="2"/>
        </w:numPr>
        <w:spacing w:after="80" w:line="264"/>
      </w:pPr>
      <w:r>
        <w:rPr>
          <w:rFonts w:ascii="Arial" w:cs="Arial" w:eastAsia="Arial" w:hAnsi="Arial"/>
          <w:b/>
          <w:bCs/>
          <w:sz w:val="21"/>
          <w:szCs w:val="21"/>
        </w:rPr>
        <w:t xml:space="preserve">Team composition.</w:t>
      </w:r>
      <w:r>
        <w:rPr>
          <w:rFonts w:ascii="Arial" w:cs="Arial" w:eastAsia="Arial" w:hAnsi="Arial"/>
          <w:sz w:val="21"/>
          <w:szCs w:val="21"/>
        </w:rPr>
        <w:t xml:space="preserve"> The proposed core team has been assembled to reflect diversity of gender, background, nationality, language and career path, and to give Netflix a range of perspectives at both partner and associate level. </w:t>
      </w:r>
      <w:r>
        <w:rPr>
          <w:rFonts w:ascii="Arial" w:cs="Arial" w:eastAsia="Arial" w:hAnsi="Arial"/>
          <w:sz w:val="21"/>
          <w:szCs w:val="21"/>
          <w:shd w:fill="FFF200" w:color="auto" w:val="clear"/>
        </w:rPr>
        <w:t xml:space="preserve">[Insert current composition statistics for the proposed team, e.g. percentage of women and of lawyers from under-represented backgrounds among partners and among the team overall.]</w:t>
      </w:r>
    </w:p>
    <w:p>
      <w:pPr>
        <w:pStyle w:val="ListParagraph"/>
        <w:numPr>
          <w:ilvl w:val="0"/>
          <w:numId w:val="2"/>
        </w:numPr>
        <w:spacing w:after="80" w:line="264"/>
      </w:pPr>
      <w:r>
        <w:rPr>
          <w:rFonts w:ascii="Arial" w:cs="Arial" w:eastAsia="Arial" w:hAnsi="Arial"/>
          <w:b/>
          <w:bCs/>
          <w:sz w:val="21"/>
          <w:szCs w:val="21"/>
        </w:rPr>
        <w:t xml:space="preserve">Representation data.</w:t>
      </w:r>
      <w:r>
        <w:rPr>
          <w:rFonts w:ascii="Arial" w:cs="Arial" w:eastAsia="Arial" w:hAnsi="Arial"/>
          <w:sz w:val="21"/>
          <w:szCs w:val="21"/>
        </w:rPr>
        <w:t xml:space="preserve"> We will include timekeeper representation data in the Legal Tracker rate upload template, where individuals have consented and applicable law permits, as Section II.B of the Guidelines requests.</w:t>
      </w:r>
    </w:p>
    <w:p>
      <w:pPr>
        <w:pStyle w:val="ListParagraph"/>
        <w:numPr>
          <w:ilvl w:val="0"/>
          <w:numId w:val="2"/>
        </w:numPr>
        <w:spacing w:after="80" w:line="264"/>
      </w:pPr>
      <w:r>
        <w:rPr>
          <w:rFonts w:ascii="Arial" w:cs="Arial" w:eastAsia="Arial" w:hAnsi="Arial"/>
          <w:b/>
          <w:bCs/>
          <w:sz w:val="21"/>
          <w:szCs w:val="21"/>
        </w:rPr>
        <w:t xml:space="preserve">Meaningful roles.</w:t>
      </w:r>
      <w:r>
        <w:rPr>
          <w:rFonts w:ascii="Arial" w:cs="Arial" w:eastAsia="Arial" w:hAnsi="Arial"/>
          <w:sz w:val="21"/>
          <w:szCs w:val="21"/>
        </w:rPr>
        <w:t xml:space="preserve"> Diverse team members will lead substantive work and client relationships, not only support them; we will report on origination and lead roles by demographic at each quarterly business review.</w:t>
      </w:r>
    </w:p>
    <w:p>
      <w:pPr>
        <w:pStyle w:val="ListParagraph"/>
        <w:numPr>
          <w:ilvl w:val="0"/>
          <w:numId w:val="2"/>
        </w:numPr>
        <w:spacing w:after="80" w:line="264"/>
      </w:pPr>
      <w:r>
        <w:rPr>
          <w:rFonts w:ascii="Arial" w:cs="Arial" w:eastAsia="Arial" w:hAnsi="Arial"/>
          <w:b/>
          <w:bCs/>
          <w:sz w:val="21"/>
          <w:szCs w:val="21"/>
        </w:rPr>
        <w:t xml:space="preserve">Firm-wide commitments.</w:t>
      </w:r>
      <w:r>
        <w:rPr>
          <w:rFonts w:ascii="Arial" w:cs="Arial" w:eastAsia="Arial" w:hAnsi="Arial"/>
          <w:sz w:val="21"/>
          <w:szCs w:val="21"/>
        </w:rPr>
        <w:t xml:space="preserve"> </w:t>
      </w:r>
      <w:r>
        <w:rPr>
          <w:rFonts w:ascii="Arial" w:cs="Arial" w:eastAsia="Arial" w:hAnsi="Arial"/>
          <w:sz w:val="21"/>
          <w:szCs w:val="21"/>
          <w:shd w:fill="FFF200" w:color="auto" w:val="clear"/>
        </w:rPr>
        <w:t xml:space="preserve">[Insert Dentons KMN and Dentons diversity and inclusion policies, targets, affinity networks, mentoring and sponsorship programmes, and any external commitments or certifications.]</w:t>
      </w:r>
    </w:p>
    <w:p>
      <w:pPr>
        <w:pStyle w:val="ListParagraph"/>
        <w:numPr>
          <w:ilvl w:val="0"/>
          <w:numId w:val="2"/>
        </w:numPr>
        <w:spacing w:after="80" w:line="264"/>
      </w:pPr>
      <w:r>
        <w:rPr>
          <w:rFonts w:ascii="Arial" w:cs="Arial" w:eastAsia="Arial" w:hAnsi="Arial"/>
          <w:b/>
          <w:bCs/>
          <w:sz w:val="21"/>
          <w:szCs w:val="21"/>
        </w:rPr>
        <w:t xml:space="preserve">Supplier code of conduct.</w:t>
      </w:r>
      <w:r>
        <w:rPr>
          <w:rFonts w:ascii="Arial" w:cs="Arial" w:eastAsia="Arial" w:hAnsi="Arial"/>
          <w:sz w:val="21"/>
          <w:szCs w:val="21"/>
        </w:rPr>
        <w:t xml:space="preserve"> We have reviewed and will abide by the Netflix supplier code of conduct, and we expect the same of any third party we engage on Netflix's behalf.</w:t>
      </w:r>
    </w:p>
    <w:p>
      <w:r>
        <w:br w:type="page"/>
      </w:r>
    </w:p>
    <w:p>
      <w:pPr>
        <w:pStyle w:val="Heading1"/>
        <w:keepNext/>
        <w:spacing w:after="160" w:before="360"/>
      </w:pPr>
      <w:r>
        <w:t xml:space="preserve">11. Pricing and Fee Proposal</w:t>
      </w:r>
    </w:p>
    <w:p>
      <w:pPr>
        <w:spacing w:after="140" w:line="276"/>
        <w:jc w:val="left"/>
      </w:pPr>
      <w:r>
        <w:rPr>
          <w:rFonts w:ascii="Arial" w:cs="Arial" w:eastAsia="Arial" w:hAnsi="Arial"/>
          <w:sz w:val="21"/>
          <w:szCs w:val="21"/>
        </w:rPr>
        <w:t xml:space="preserve">Netflix is looking for transparent, predictable and competitive fee models that align with a long-term partnership and performance-based goals. Our proposal combines a discounted, frozen rate card with a menu of alternative fee arrangements that Netflix can apply matter by matter. Full detail, including the calculators, is in the "Rate Card" and "Fee Model" tabs of the RFP spreadsheet.</w:t>
      </w:r>
    </w:p>
    <w:tbl>
      <w:tblPr>
        <w:tblW w:type="dxa" w:w="9360"/>
        <w:tblBorders>
          <w:top w:val="none" w:color="FFFFFF" w:sz="0"/>
          <w:left w:val="single" w:color="5B2A86" w:sz="24"/>
          <w:bottom w:val="none" w:color="FFFFFF" w:sz="0"/>
          <w:right w:val="none" w:color="FFFFFF" w:sz="0"/>
          <w:insideH w:val="none" w:color="FFFFFF" w:sz="0"/>
          <w:insideV w:val="none" w:color="FFFFFF" w:sz="0"/>
        </w:tblBorders>
      </w:tblPr>
      <w:tblGrid>
        <w:gridCol w:w="9360"/>
      </w:tblGrid>
      <w:tr>
        <w:tc>
          <w:tcPr>
            <w:tcW w:type="dxa" w:w="9360"/>
            <w:shd w:fill="EFE9F5" w:color="auto" w:val="clear"/>
            <w:tcMar>
              <w:top w:type="dxa" w:w="140"/>
              <w:left w:type="dxa" w:w="200"/>
              <w:bottom w:type="dxa" w:w="100"/>
              <w:right w:type="dxa" w:w="200"/>
            </w:tcMar>
          </w:tcPr>
          <w:p>
            <w:pPr>
              <w:spacing w:after="80"/>
            </w:pPr>
            <w:r>
              <w:rPr>
                <w:rFonts w:ascii="Arial" w:cs="Arial" w:eastAsia="Arial" w:hAnsi="Arial"/>
                <w:b/>
                <w:bCs/>
                <w:color w:val="5B2A86"/>
                <w:sz w:val="22"/>
                <w:szCs w:val="22"/>
              </w:rPr>
              <w:t xml:space="preserve">Pricing principles</w:t>
            </w:r>
          </w:p>
          <w:p>
            <w:pPr>
              <w:spacing w:after="60" w:line="264"/>
            </w:pPr>
            <w:r>
              <w:rPr>
                <w:rFonts w:ascii="Arial" w:cs="Arial" w:eastAsia="Arial" w:hAnsi="Arial"/>
                <w:b/>
                <w:bCs/>
                <w:sz w:val="20"/>
                <w:szCs w:val="20"/>
              </w:rPr>
              <w:t xml:space="preserve">Predictable.</w:t>
            </w:r>
            <w:r>
              <w:rPr>
                <w:rFonts w:ascii="Arial" w:cs="Arial" w:eastAsia="Arial" w:hAnsi="Arial"/>
                <w:sz w:val="20"/>
                <w:szCs w:val="20"/>
              </w:rPr>
              <w:t xml:space="preserve"> Rates fixed for three years from 1 January 2027, with no step or promotion increases for partners, principals or of counsel, and any later adjustment discussed with the Netflix Matter Lead within Netflix's annual rate submission window only.</w:t>
            </w:r>
          </w:p>
          <w:p>
            <w:pPr>
              <w:spacing w:after="60" w:line="264"/>
            </w:pPr>
            <w:r>
              <w:rPr>
                <w:rFonts w:ascii="Arial" w:cs="Arial" w:eastAsia="Arial" w:hAnsi="Arial"/>
                <w:b/>
                <w:bCs/>
                <w:sz w:val="20"/>
                <w:szCs w:val="20"/>
              </w:rPr>
              <w:t xml:space="preserve">Transparent.</w:t>
            </w:r>
            <w:r>
              <w:rPr>
                <w:rFonts w:ascii="Arial" w:cs="Arial" w:eastAsia="Arial" w:hAnsi="Arial"/>
                <w:sz w:val="20"/>
                <w:szCs w:val="20"/>
              </w:rPr>
              <w:t xml:space="preserve"> Estimates in writing for every matter above 5 hours; alerts at 75% of budget; no charges for any item listed as prohibited in the Guidelines.</w:t>
            </w:r>
          </w:p>
          <w:p>
            <w:pPr>
              <w:spacing w:after="60" w:line="264"/>
            </w:pPr>
            <w:r>
              <w:rPr>
                <w:rFonts w:ascii="Arial" w:cs="Arial" w:eastAsia="Arial" w:hAnsi="Arial"/>
                <w:b/>
                <w:bCs/>
                <w:sz w:val="20"/>
                <w:szCs w:val="20"/>
              </w:rPr>
              <w:t xml:space="preserve">Competitive.</w:t>
            </w:r>
            <w:r>
              <w:rPr>
                <w:rFonts w:ascii="Arial" w:cs="Arial" w:eastAsia="Arial" w:hAnsi="Arial"/>
                <w:sz w:val="20"/>
                <w:szCs w:val="20"/>
              </w:rPr>
              <w:t xml:space="preserve"> A Netflix discount of </w:t>
            </w:r>
            <w:r>
              <w:rPr>
                <w:rFonts w:ascii="Arial" w:cs="Arial" w:eastAsia="Arial" w:hAnsi="Arial"/>
                <w:sz w:val="20"/>
                <w:szCs w:val="20"/>
                <w:shd w:fill="FFF200" w:color="auto" w:val="clear"/>
              </w:rPr>
              <w:t xml:space="preserve">[15–20]</w:t>
            </w:r>
            <w:r>
              <w:rPr>
                <w:rFonts w:ascii="Arial" w:cs="Arial" w:eastAsia="Arial" w:hAnsi="Arial"/>
                <w:sz w:val="20"/>
                <w:szCs w:val="20"/>
              </w:rPr>
              <w:t xml:space="preserve">% from standard rates, volume credits, and fixed or capped fees wherever the work is repeatable.</w:t>
            </w:r>
          </w:p>
          <w:p>
            <w:pPr>
              <w:spacing w:after="60" w:line="264"/>
            </w:pPr>
            <w:r>
              <w:rPr>
                <w:rFonts w:ascii="Arial" w:cs="Arial" w:eastAsia="Arial" w:hAnsi="Arial"/>
                <w:b/>
                <w:bCs/>
                <w:sz w:val="20"/>
                <w:szCs w:val="20"/>
              </w:rPr>
              <w:t xml:space="preserve">Performance-based.</w:t>
            </w:r>
            <w:r>
              <w:rPr>
                <w:rFonts w:ascii="Arial" w:cs="Arial" w:eastAsia="Arial" w:hAnsi="Arial"/>
                <w:sz w:val="20"/>
                <w:szCs w:val="20"/>
              </w:rPr>
              <w:t xml:space="preserve"> 5% of quarterly fees held at risk against the KPI scorecard in Section 15.</w:t>
            </w:r>
          </w:p>
        </w:tc>
      </w:tr>
    </w:tbl>
    <w:p>
      <w:pPr>
        <w:spacing w:after="120"/>
      </w:pPr>
    </w:p>
    <w:p>
      <w:pPr>
        <w:pStyle w:val="Heading2"/>
        <w:keepNext/>
        <w:spacing w:after="120" w:before="240"/>
      </w:pPr>
      <w:r>
        <w:t xml:space="preserve">11.1 Discounted hourly rate card</w:t>
      </w:r>
    </w:p>
    <w:p>
      <w:pPr>
        <w:spacing w:after="140" w:line="276"/>
        <w:jc w:val="left"/>
      </w:pPr>
      <w:r>
        <w:rPr>
          <w:rFonts w:ascii="Arial" w:cs="Arial" w:eastAsia="Arial" w:hAnsi="Arial"/>
          <w:sz w:val="21"/>
          <w:szCs w:val="21"/>
        </w:rPr>
        <w:t xml:space="preserve">Indicative rates in US dollars, effective 1 January 2027 and fixed until 31 December 2029. Rates for any Dentons office outside Dentons KMN will be submitted to Legal Tracker for approval before any work is billed and will carry at least the same percentage discount. </w:t>
      </w:r>
      <w:r>
        <w:rPr>
          <w:rFonts w:ascii="Arial" w:cs="Arial" w:eastAsia="Arial" w:hAnsi="Arial"/>
          <w:sz w:val="21"/>
          <w:szCs w:val="21"/>
          <w:shd w:fill="FFF200" w:color="auto" w:val="clear"/>
        </w:rPr>
        <w:t xml:space="preserve">[Confirm final figures before submission.]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2100"/>
        <w:gridCol w:w="1800"/>
        <w:gridCol w:w="2160"/>
      </w:tblGrid>
      <w:tr>
        <w:trPr>
          <w:cantSplit/>
          <w:tblHeader/>
        </w:trPr>
        <w:tc>
          <w:tcPr>
            <w:tcW w:type="dxa" w:w="33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Timekeeper level</w:t>
            </w:r>
          </w:p>
        </w:tc>
        <w:tc>
          <w:tcPr>
            <w:tcW w:type="dxa" w:w="21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Standard rate (USD/hr)</w:t>
            </w:r>
          </w:p>
        </w:tc>
        <w:tc>
          <w:tcPr>
            <w:tcW w:type="dxa" w:w="18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Netflix discount</w:t>
            </w:r>
          </w:p>
        </w:tc>
        <w:tc>
          <w:tcPr>
            <w:tcW w:type="dxa" w:w="21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Netflix rate (USD/hr)</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Partner</w:t>
            </w:r>
          </w:p>
        </w:tc>
        <w:tc>
          <w:tcPr>
            <w:tcW w:type="dxa" w:w="21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[750]</w:t>
            </w:r>
          </w:p>
        </w:tc>
        <w:tc>
          <w:tcPr>
            <w:tcW w:type="dxa" w:w="18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[17.5%]</w:t>
            </w:r>
          </w:p>
        </w:tc>
        <w:tc>
          <w:tcPr>
            <w:tcW w:type="dxa" w:w="216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[620]</w:t>
            </w:r>
          </w:p>
        </w:tc>
      </w:tr>
      <w:tr>
        <w:trPr>
          <w:cantSplit/>
          <w:tblHeader w:val="false"/>
        </w:trPr>
        <w:tc>
          <w:tcPr>
            <w:tcW w:type="dxa" w:w="3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Of Counsel / Senior Counsel</w:t>
            </w:r>
          </w:p>
        </w:tc>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[620]</w:t>
            </w:r>
          </w:p>
        </w:tc>
        <w:tc>
          <w:tcPr>
            <w:tcW w:type="dxa" w:w="18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[16%]</w:t>
            </w:r>
          </w:p>
        </w:tc>
        <w:tc>
          <w:tcPr>
            <w:tcW w:type="dxa" w:w="2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[520]</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Senior Associate (6+ years)</w:t>
            </w:r>
          </w:p>
        </w:tc>
        <w:tc>
          <w:tcPr>
            <w:tcW w:type="dxa" w:w="21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[480]</w:t>
            </w:r>
          </w:p>
        </w:tc>
        <w:tc>
          <w:tcPr>
            <w:tcW w:type="dxa" w:w="18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[17%]</w:t>
            </w:r>
          </w:p>
        </w:tc>
        <w:tc>
          <w:tcPr>
            <w:tcW w:type="dxa" w:w="216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[400]</w:t>
            </w:r>
          </w:p>
        </w:tc>
      </w:tr>
      <w:tr>
        <w:trPr>
          <w:cantSplit/>
          <w:tblHeader w:val="false"/>
        </w:trPr>
        <w:tc>
          <w:tcPr>
            <w:tcW w:type="dxa" w:w="3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Associate (3–5 years)</w:t>
            </w:r>
          </w:p>
        </w:tc>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[380]</w:t>
            </w:r>
          </w:p>
        </w:tc>
        <w:tc>
          <w:tcPr>
            <w:tcW w:type="dxa" w:w="18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[17%]</w:t>
            </w:r>
          </w:p>
        </w:tc>
        <w:tc>
          <w:tcPr>
            <w:tcW w:type="dxa" w:w="2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[315]</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Attorney-Translator (qualified lawyer)</w:t>
            </w:r>
          </w:p>
        </w:tc>
        <w:tc>
          <w:tcPr>
            <w:tcW w:type="dxa" w:w="21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[380]</w:t>
            </w:r>
          </w:p>
        </w:tc>
        <w:tc>
          <w:tcPr>
            <w:tcW w:type="dxa" w:w="18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[17%]</w:t>
            </w:r>
          </w:p>
        </w:tc>
        <w:tc>
          <w:tcPr>
            <w:tcW w:type="dxa" w:w="216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[315]</w:t>
            </w:r>
          </w:p>
        </w:tc>
      </w:tr>
      <w:tr>
        <w:trPr>
          <w:cantSplit/>
          <w:tblHeader w:val="false"/>
        </w:trPr>
        <w:tc>
          <w:tcPr>
            <w:tcW w:type="dxa" w:w="3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Patent Agent / Technical Specialist</w:t>
            </w:r>
          </w:p>
        </w:tc>
        <w:tc>
          <w:tcPr>
            <w:tcW w:type="dxa" w:w="21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[340]</w:t>
            </w:r>
          </w:p>
        </w:tc>
        <w:tc>
          <w:tcPr>
            <w:tcW w:type="dxa" w:w="18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[15%]</w:t>
            </w:r>
          </w:p>
        </w:tc>
        <w:tc>
          <w:tcPr>
            <w:tcW w:type="dxa" w:w="2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[290]</w:t>
            </w:r>
          </w:p>
        </w:tc>
      </w:tr>
      <w:tr>
        <w:trPr>
          <w:cantSplit/>
          <w:tblHeader w:val="false"/>
        </w:trPr>
        <w:tc>
          <w:tcPr>
            <w:tcW w:type="dxa" w:w="33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Paralegal</w:t>
            </w:r>
          </w:p>
        </w:tc>
        <w:tc>
          <w:tcPr>
            <w:tcW w:type="dxa" w:w="21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[180]</w:t>
            </w:r>
          </w:p>
        </w:tc>
        <w:tc>
          <w:tcPr>
            <w:tcW w:type="dxa" w:w="180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[17%]</w:t>
            </w:r>
          </w:p>
        </w:tc>
        <w:tc>
          <w:tcPr>
            <w:tcW w:type="dxa" w:w="216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[150]</w:t>
            </w:r>
          </w:p>
        </w:tc>
      </w:tr>
    </w:tbl>
    <w:p>
      <w:pPr>
        <w:spacing w:after="120"/>
      </w:pPr>
    </w:p>
    <w:p>
      <w:pPr>
        <w:spacing w:after="140" w:line="276"/>
        <w:jc w:val="left"/>
      </w:pPr>
      <w:r>
        <w:rPr>
          <w:rFonts w:ascii="Arial" w:cs="Arial" w:eastAsia="Arial" w:hAnsi="Arial"/>
          <w:sz w:val="21"/>
          <w:szCs w:val="21"/>
        </w:rPr>
        <w:t xml:space="preserve">Associates in their first or second year of practice will not be staffed on Netflix matters without prior approval and are therefore not included in the rate card. Time is recorded in one-tenth-hour increments for actual time spent only.</w:t>
      </w:r>
    </w:p>
    <w:p>
      <w:pPr>
        <w:pStyle w:val="Heading2"/>
        <w:keepNext/>
        <w:spacing w:after="120" w:before="240"/>
      </w:pPr>
      <w:r>
        <w:t xml:space="preserve">11.2 Alternative fee arrangements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600"/>
        <w:gridCol w:w="4260"/>
      </w:tblGrid>
      <w:tr>
        <w:trPr>
          <w:cantSplit/>
          <w:tblHeader/>
        </w:trPr>
        <w:tc>
          <w:tcPr>
            <w:tcW w:type="dxa" w:w="25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Option</w:t>
            </w:r>
          </w:p>
        </w:tc>
        <w:tc>
          <w:tcPr>
            <w:tcW w:type="dxa" w:w="26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Best suited to</w:t>
            </w:r>
          </w:p>
        </w:tc>
        <w:tc>
          <w:tcPr>
            <w:tcW w:type="dxa" w:w="42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Structure</w:t>
            </w:r>
          </w:p>
        </w:tc>
      </w:tr>
      <w:tr>
        <w:trPr>
          <w:cantSplit/>
          <w:tblHeader w:val="false"/>
        </w:trPr>
        <w:tc>
          <w:tcPr>
            <w:tcW w:type="dxa" w:w="25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 Advisory subscription</w:t>
            </w:r>
          </w:p>
        </w:tc>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Day-to-day privacy, consumer, marketing and product questions</w:t>
            </w:r>
          </w:p>
        </w:tc>
        <w:tc>
          <w:tcPr>
            <w:tcW w:type="dxa" w:w="42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Fixed monthly fee for an agreed band of hours (e.g. up to 40, 80 or 150 hours per month) covering all advisory work across the scope; unused hours roll over one quarter; overage billed at the Netflix rate less a further 10%</w:t>
            </w:r>
          </w:p>
        </w:tc>
      </w:tr>
      <w:tr>
        <w:trPr>
          <w:cantSplit/>
          <w:tblHeader w:val="false"/>
        </w:trPr>
        <w:tc>
          <w:tcPr>
            <w:tcW w:type="dxa" w:w="25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B. Fixed-fee translation menu</w:t>
            </w:r>
          </w:p>
        </w:tc>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Translation and legal review of privacy notices, terms, disclosures and other product documents</w:t>
            </w:r>
          </w:p>
        </w:tc>
        <w:tc>
          <w:tcPr>
            <w:tcW w:type="dxa" w:w="42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Fixed fee per 1,000 source words by language tier, including second-attorney QA and glossary check; rush surcharge of 25% for 24-hour turnaround; legal review of an existing localization at a reduced per-word rate</w:t>
            </w:r>
          </w:p>
        </w:tc>
      </w:tr>
      <w:tr>
        <w:trPr>
          <w:cantSplit/>
          <w:tblHeader w:val="false"/>
        </w:trPr>
        <w:tc>
          <w:tcPr>
            <w:tcW w:type="dxa" w:w="25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 Capped fees for product contracts</w:t>
            </w:r>
          </w:p>
        </w:tc>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Device, platform, licensing, SaaS and DPA negotiations</w:t>
            </w:r>
          </w:p>
        </w:tc>
        <w:tc>
          <w:tcPr>
            <w:tcW w:type="dxa" w:w="42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 cap per contract type agreed with the Matter Lead at kick-off (for example, standard SaaS agreement, platform partnership, data processing agreement); we absorb time above the cap; a re-scope is agreed only if the counterparty materially changes the deal</w:t>
            </w:r>
          </w:p>
        </w:tc>
      </w:tr>
      <w:tr>
        <w:trPr>
          <w:cantSplit/>
          <w:tblHeader w:val="false"/>
        </w:trPr>
        <w:tc>
          <w:tcPr>
            <w:tcW w:type="dxa" w:w="25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 Fixed fees per patent stage</w:t>
            </w:r>
          </w:p>
        </w:tc>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Patent drafting and prosecution</w:t>
            </w:r>
          </w:p>
        </w:tc>
        <w:tc>
          <w:tcPr>
            <w:tcW w:type="dxa" w:w="42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Fixed fees for drafting, filing, each office action response and grant formalities; official fees and foreign associate charges passed through at cost with invoices attached</w:t>
            </w:r>
          </w:p>
        </w:tc>
      </w:tr>
      <w:tr>
        <w:trPr>
          <w:cantSplit/>
          <w:tblHeader w:val="false"/>
        </w:trPr>
        <w:tc>
          <w:tcPr>
            <w:tcW w:type="dxa" w:w="25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E. Fixed-fee campaign pre-clearance</w:t>
            </w:r>
          </w:p>
        </w:tc>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Marketing campaign reviews</w:t>
            </w:r>
          </w:p>
        </w:tc>
        <w:tc>
          <w:tcPr>
            <w:tcW w:type="dxa" w:w="42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Flat fee per campaign for a defined review scope, with a 48-hour standard turnaround</w:t>
            </w:r>
          </w:p>
        </w:tc>
      </w:tr>
      <w:tr>
        <w:trPr>
          <w:cantSplit/>
          <w:tblHeader w:val="false"/>
        </w:trPr>
        <w:tc>
          <w:tcPr>
            <w:tcW w:type="dxa" w:w="25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 Project fees for regulatory responses</w:t>
            </w:r>
          </w:p>
        </w:tc>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Regulator information requests and consultations</w:t>
            </w:r>
          </w:p>
        </w:tc>
        <w:tc>
          <w:tcPr>
            <w:tcW w:type="dxa" w:w="42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Phase-based fixed fees agreed once the request is scoped; contentious phases billed with litigation task codes if a matter becomes adversarial</w:t>
            </w:r>
          </w:p>
        </w:tc>
      </w:tr>
    </w:tbl>
    <w:p>
      <w:pPr>
        <w:spacing w:after="120"/>
      </w:pPr>
    </w:p>
    <w:p>
      <w:pPr>
        <w:pStyle w:val="Heading2"/>
        <w:keepNext/>
        <w:spacing w:after="120" w:before="240"/>
      </w:pPr>
      <w:r>
        <w:t xml:space="preserve">11.3 Volume credits and performance-based fees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cantSplit/>
          <w:tblHeader/>
        </w:trPr>
        <w:tc>
          <w:tcPr>
            <w:tcW w:type="dxa" w:w="24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Mechanism</w:t>
            </w:r>
          </w:p>
        </w:tc>
        <w:tc>
          <w:tcPr>
            <w:tcW w:type="dxa" w:w="69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Terms</w:t>
            </w:r>
          </w:p>
        </w:tc>
      </w:tr>
      <w:tr>
        <w:trPr>
          <w:cantSplit/>
          <w:tblHeader w:val="false"/>
        </w:trPr>
        <w:tc>
          <w:tcPr>
            <w:tcW w:type="dxa" w:w="2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Volume credit</w:t>
            </w:r>
          </w:p>
        </w:tc>
        <w:tc>
          <w:tcPr>
            <w:tcW w:type="dxa" w:w="6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An additional credit on total annual fees: 2% above USD 500,000; 4% above USD 1,000,000; 6% above USD 1,500,000; applied as a credit note in the first quarter of the following year</w:t>
            </w:r>
          </w:p>
        </w:tc>
      </w:tr>
      <w:tr>
        <w:trPr>
          <w:cantSplit/>
          <w:tblHeader w:val="false"/>
        </w:trPr>
        <w:tc>
          <w:tcPr>
            <w:tcW w:type="dxa" w:w="2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At-risk fee</w:t>
            </w:r>
          </w:p>
        </w:tc>
        <w:tc>
          <w:tcPr>
            <w:tcW w:type="dxa" w:w="6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5% of each quarter's fees is held back and released only if at least four of the six KPIs in Section 15 are met; any unreleased portion is credited to Netflix</w:t>
            </w:r>
          </w:p>
        </w:tc>
      </w:tr>
      <w:tr>
        <w:trPr>
          <w:cantSplit/>
          <w:tblHeader w:val="false"/>
        </w:trPr>
        <w:tc>
          <w:tcPr>
            <w:tcW w:type="dxa" w:w="2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Rate freeze</w:t>
            </w:r>
          </w:p>
        </w:tc>
        <w:tc>
          <w:tcPr>
            <w:tcW w:type="dxa" w:w="6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Rates fixed for three years from 1 January 2027; litigation-matter rates fixed for the life of the matter (minimum three years) in accordance with the Guidelines</w:t>
            </w:r>
          </w:p>
        </w:tc>
      </w:tr>
      <w:tr>
        <w:trPr>
          <w:cantSplit/>
          <w:tblHeader w:val="false"/>
        </w:trPr>
        <w:tc>
          <w:tcPr>
            <w:tcW w:type="dxa" w:w="2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No-charge items</w:t>
            </w:r>
          </w:p>
        </w:tc>
        <w:tc>
          <w:tcPr>
            <w:tcW w:type="dxa" w:w="6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Onboarding, transition, conflict checks, bill preparation, internal staff changes, routine translation of communications, non-working travel time, research database charges, overhead and all other items listed in Section I.F of the Guidelines</w:t>
            </w:r>
          </w:p>
        </w:tc>
      </w:tr>
      <w:tr>
        <w:trPr>
          <w:cantSplit/>
          <w:tblHeader w:val="false"/>
        </w:trPr>
        <w:tc>
          <w:tcPr>
            <w:tcW w:type="dxa" w:w="24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Expenses</w:t>
            </w:r>
          </w:p>
        </w:tc>
        <w:tc>
          <w:tcPr>
            <w:tcW w:type="dxa" w:w="69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At cost, in line with the Netflix travel policy (coach air travel, reasonable hotels, no town cars), with receipts for every item above USD 75 and no charge for local meals or remote-working expenses</w:t>
            </w:r>
          </w:p>
        </w:tc>
      </w:tr>
    </w:tbl>
    <w:p>
      <w:pPr>
        <w:spacing w:after="120"/>
      </w:pPr>
    </w:p>
    <w:p>
      <w:pPr>
        <w:pStyle w:val="Heading2"/>
        <w:keepNext/>
        <w:spacing w:after="120" w:before="240"/>
      </w:pPr>
      <w:r>
        <w:t xml:space="preserve">11.4 Illustrative annual budget</w:t>
      </w:r>
    </w:p>
    <w:p>
      <w:pPr>
        <w:spacing w:after="140" w:line="276"/>
        <w:jc w:val="left"/>
      </w:pPr>
      <w:r>
        <w:rPr>
          <w:rFonts w:ascii="Arial" w:cs="Arial" w:eastAsia="Arial" w:hAnsi="Arial"/>
          <w:sz w:val="21"/>
          <w:szCs w:val="21"/>
        </w:rPr>
        <w:t xml:space="preserve">The spreadsheet contains a budget calculator that lets Netflix model spend under each option using its own volume assumptions. For illustration only, an engagement combining a mid-band advisory subscription, translation of 300,000 source words per year, twenty capped-fee contracts and fifteen patent filings would be expected to fall within a predictable annual range that we would be pleased to refine with Netflix during price negotiations in October.</w:t>
      </w:r>
    </w:p>
    <w:p>
      <w:r>
        <w:br w:type="page"/>
      </w:r>
    </w:p>
    <w:p>
      <w:pPr>
        <w:pStyle w:val="Heading1"/>
        <w:keepNext/>
        <w:spacing w:after="160" w:before="360"/>
      </w:pPr>
      <w:r>
        <w:t xml:space="preserve">12. Compliance with the Netflix Outside Counsel Guidelines</w:t>
      </w:r>
    </w:p>
    <w:p>
      <w:pPr>
        <w:spacing w:after="140" w:line="276"/>
        <w:jc w:val="left"/>
      </w:pPr>
      <w:r>
        <w:rPr>
          <w:rFonts w:ascii="Arial" w:cs="Arial" w:eastAsia="Arial" w:hAnsi="Arial"/>
          <w:sz w:val="21"/>
          <w:szCs w:val="21"/>
        </w:rPr>
        <w:t xml:space="preserve">We have reviewed the Netflix Outside Counsel Guidelines (updated January 2026) and confirm that we will comply with them in full. The table below records our commitment against each requirement; the "Billing Compliance" tab of the spreadsheet contains the same attestations in questionnaire form.</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cantSplit/>
          <w:tblHeader/>
        </w:trPr>
        <w:tc>
          <w:tcPr>
            <w:tcW w:type="dxa" w:w="26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Guideline</w:t>
            </w:r>
          </w:p>
        </w:tc>
        <w:tc>
          <w:tcPr>
            <w:tcW w:type="dxa" w:w="67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Dentons KMN commitment</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I.A Matter alignment</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One invoice per matter; no aggregation across matters; eBilling matter number verified before every submission</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I.B Timing and accruals</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Monthly invoices via Legal Tracker covering one month of fees and expenses; nothing submitted later than 60 days after the work; accruals submitted monthly per the Legal Tracker accrual calendar, within 10% of actuals, calculated at approved rates, including "on hold" invoices</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I.B Payment terms</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Net 45 from the invoice date accepted</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I.C Invoice formats</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LEDES format (98B; 98BI for international billing) plus PDF backup on our letterhead showing the Netflix entity and address on the billing matter; tax documents uploaded with international invoices; billing currency determined by billing entity and place of performance</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I.D Vendors and pass-through expenses</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No third party engaged without prior approval of the supervising Netflix attorney; vendors engaged and paid by us and passed through at cost with the vendor invoice attached or referenced</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I.E Time entries and task codes</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Actual time in 0.1-hour increments; entries identify the parties (including Netflix participants) and the action taken; litigation matters billed by day with per-task times in parentheses and only the L100–L500 phase codes; separate entries per motion type</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I.F Prohibited fees and expenses</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None of the listed items will be billed, including administrative work, attorney time on paralegal tasks, getting up to speed, bill preparation, conflict checks, routine translation of communications, non-working travel, research databases, overhead, first- and second-year associates and summer associates without approval, multiple attendees without approval, unauthorized third-party fees, after-hours costs, travel agency fees and remote-working expenses</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I.G Travel</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Coach air travel, reasonable hotels, no local meals, reasonable ground transport, receipts above USD 75; anti-corruption compliance on every expense</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I.H Rejection handling</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Rejected invoices corrected and resubmitted within 15 calendar days using the original bill number with an "R" suffix, with every stated reason fully addressed</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I.I AI and data security</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Netflix engagement owner consulted before AI use; only approved tools; actual time billed; no AI-related fees or costs without prior approval; Security Addendum and AI Guidelines followed</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II.A Staffing</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Lean, stable and diverse staffing; changes approved by the Netflix Matter Lead; Netflix in-house and business resources leveraged where cost-effective</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II.B Timekeeper rates</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All rates submitted to Legal Tracker for approval before invoicing, with timekeeper detail, negotiated discounts and representation data (where consented and permitted); effective dates aligned to our fiscal year (1 January); rate requests only in the annual window; no step increases for partners, principals or of counsel; litigation rates fixed for the life of the matter (minimum three years)</w:t>
            </w:r>
          </w:p>
        </w:tc>
      </w:tr>
      <w:tr>
        <w:trPr>
          <w:cantSplit/>
          <w:tblHeader w:val="false"/>
        </w:trPr>
        <w:tc>
          <w:tcPr>
            <w:tcW w:type="dxa" w:w="2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III.A Other clients</w:t>
            </w:r>
          </w:p>
        </w:tc>
        <w:tc>
          <w:tcPr>
            <w:tcW w:type="dxa" w:w="67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Prompt disclosure of any actual or potential conflict; no request for advance, general or litigation waivers; waiver requests, if any, submitted for case-by-case consideration by Netflix litigation</w:t>
            </w:r>
          </w:p>
        </w:tc>
      </w:tr>
      <w:tr>
        <w:trPr>
          <w:cantSplit/>
          <w:tblHeader w:val="false"/>
        </w:trPr>
        <w:tc>
          <w:tcPr>
            <w:tcW w:type="dxa" w:w="2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III.B Public comment</w:t>
            </w:r>
          </w:p>
        </w:tc>
        <w:tc>
          <w:tcPr>
            <w:tcW w:type="dxa" w:w="67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No public comment on our representation of Netflix or any matter, including press, awards, websites or pitch materials, without written authorization from the responsible Netflix counsel</w:t>
            </w:r>
          </w:p>
        </w:tc>
      </w:tr>
    </w:tbl>
    <w:p>
      <w:r>
        <w:br w:type="page"/>
      </w:r>
    </w:p>
    <w:p>
      <w:pPr>
        <w:pStyle w:val="Heading1"/>
        <w:keepNext/>
        <w:spacing w:after="160" w:before="360"/>
      </w:pPr>
      <w:r>
        <w:t xml:space="preserve">13. Information Security and AI Compliance</w:t>
      </w:r>
    </w:p>
    <w:p>
      <w:pPr>
        <w:spacing w:after="140" w:line="276"/>
        <w:jc w:val="left"/>
      </w:pPr>
      <w:r>
        <w:rPr>
          <w:rFonts w:ascii="Arial" w:cs="Arial" w:eastAsia="Arial" w:hAnsi="Arial"/>
          <w:sz w:val="21"/>
          <w:szCs w:val="21"/>
        </w:rPr>
        <w:t xml:space="preserve">We accept the Netflix Outside Counsel Security Addendum &amp; AI Guidelines as incorporated into our engagement terms, including the 30-day notice mechanism for material changes. Our security point of contact for Netflix is set out in Appendix B, and we will keep that information current.</w:t>
      </w:r>
    </w:p>
    <w:p>
      <w:pPr>
        <w:pStyle w:val="Heading2"/>
        <w:keepNext/>
        <w:spacing w:after="120" w:before="240"/>
      </w:pPr>
      <w:r>
        <w:t xml:space="preserve">13.1 Comprehensive Information Security Program</w:t>
      </w:r>
    </w:p>
    <w:p>
      <w:pPr>
        <w:spacing w:after="140" w:line="276"/>
        <w:jc w:val="left"/>
      </w:pPr>
      <w:r>
        <w:rPr>
          <w:rFonts w:ascii="Arial" w:cs="Arial" w:eastAsia="Arial" w:hAnsi="Arial"/>
          <w:sz w:val="21"/>
          <w:szCs w:val="21"/>
        </w:rPr>
        <w:t xml:space="preserve">Dentons KMN maintains a documented Comprehensive Information Security Program consisting of administrative, physical and technical controls proportionate to the sensitivity of the data we hold. </w:t>
      </w:r>
      <w:r>
        <w:rPr>
          <w:rFonts w:ascii="Arial" w:cs="Arial" w:eastAsia="Arial" w:hAnsi="Arial"/>
          <w:sz w:val="21"/>
          <w:szCs w:val="21"/>
          <w:shd w:fill="FFF200" w:color="auto" w:val="clear"/>
        </w:rPr>
        <w:t xml:space="preserve">[Insert certifications held, e.g. ISO/IEC 27001, and the date of the most recent independent audit or penetration test.]</w:t>
      </w:r>
      <w:r>
        <w:rPr>
          <w:rFonts w:ascii="Arial" w:cs="Arial" w:eastAsia="Arial" w:hAnsi="Arial"/>
          <w:sz w:val="21"/>
          <w:szCs w:val="21"/>
        </w:rPr>
        <w:t xml:space="preserve"> Appendix A maps each control listed in Section 2(a)–(s) of the Addendum to our current practice and confirms compliance.</w:t>
      </w:r>
    </w:p>
    <w:p>
      <w:pPr>
        <w:pStyle w:val="Heading2"/>
        <w:keepNext/>
        <w:spacing w:after="120" w:before="240"/>
      </w:pPr>
      <w:r>
        <w:t xml:space="preserve">13.2 Key commitments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560"/>
      </w:tblGrid>
      <w:tr>
        <w:trPr>
          <w:cantSplit/>
          <w:tblHeader/>
        </w:trPr>
        <w:tc>
          <w:tcPr>
            <w:tcW w:type="dxa" w:w="28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Addendum requirement</w:t>
            </w:r>
          </w:p>
        </w:tc>
        <w:tc>
          <w:tcPr>
            <w:tcW w:type="dxa" w:w="65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Dentons KMN commitment</w:t>
            </w:r>
          </w:p>
        </w:tc>
      </w:tr>
      <w:tr>
        <w:trPr>
          <w:cantSplit/>
          <w:tblHeader w:val="false"/>
        </w:trPr>
        <w:tc>
          <w:tcPr>
            <w:tcW w:type="dxa" w:w="28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Section 3 – Point of contact</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shd w:fill="FFF200" w:color="auto" w:val="clear"/>
              </w:rPr>
              <w:t xml:space="preserve">[Chief Information Security Officer name]</w:t>
            </w:r>
            <w:r>
              <w:rPr>
                <w:rFonts w:ascii="Arial" w:cs="Arial" w:eastAsia="Arial" w:hAnsi="Arial"/>
                <w:sz w:val="19"/>
                <w:szCs w:val="19"/>
              </w:rPr>
              <w:t xml:space="preserve"> is our named security point of contact; we will notify Netflix of any change</w:t>
            </w:r>
          </w:p>
        </w:tc>
      </w:tr>
      <w:tr>
        <w:trPr>
          <w:cantSplit/>
          <w:tblHeader w:val="false"/>
        </w:trPr>
        <w:tc>
          <w:tcPr>
            <w:tcW w:type="dxa" w:w="28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Section 4 – System access</w:t>
            </w:r>
          </w:p>
        </w:tc>
        <w:tc>
          <w:tcPr>
            <w:tcW w:type="dxa" w:w="65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Netflix systems accessed only for the engaged services and only for as long as necessary; all Netflix security protections observed; full responsibility for credentials issued to us; Netflix may terminate access at any time</w:t>
            </w:r>
          </w:p>
        </w:tc>
      </w:tr>
      <w:tr>
        <w:trPr>
          <w:cantSplit/>
          <w:tblHeader w:val="false"/>
        </w:trPr>
        <w:tc>
          <w:tcPr>
            <w:tcW w:type="dxa" w:w="28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Section 5 – Cooperation with inquiries</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Reasonable security inquiries answered, with documentation and metrics demonstrating the operation of our program</w:t>
            </w:r>
          </w:p>
        </w:tc>
      </w:tr>
      <w:tr>
        <w:trPr>
          <w:cantSplit/>
          <w:tblHeader w:val="false"/>
        </w:trPr>
        <w:tc>
          <w:tcPr>
            <w:tcW w:type="dxa" w:w="28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Section 6 – Security incidents</w:t>
            </w:r>
          </w:p>
        </w:tc>
        <w:tc>
          <w:tcPr>
            <w:tcW w:type="dxa" w:w="65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Documented incident response plan; detailed written notice to vendorsecurity@netflix.com and legalops-ebilling@netflix.com promptly and in no event more than 48 hours after discovery (internal target 24 hours), covering incidents at the firm, affiliates and sub-processors; containment and recurrence-prevention plans at our cost; documentation supplied to Netflix, its insurers and counsel on request; consultation with Netflix on the content, form and timing of any legally required notice</w:t>
            </w:r>
          </w:p>
        </w:tc>
      </w:tr>
      <w:tr>
        <w:trPr>
          <w:cantSplit/>
          <w:tblHeader w:val="false"/>
        </w:trPr>
        <w:tc>
          <w:tcPr>
            <w:tcW w:type="dxa" w:w="28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AI Guidelines</w:t>
            </w:r>
          </w:p>
        </w:tc>
        <w:tc>
          <w:tcPr>
            <w:tcW w:type="dxa" w:w="65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Compliance with applicable law, professional guidance (including California State Bar guidance where relevant) and ABA Formal Opinion 512; advance written informed consent before any Netflix confidential information is used in a self-learning AI system; ongoing monitoring of AI guidance developments</w:t>
            </w:r>
          </w:p>
        </w:tc>
      </w:tr>
    </w:tbl>
    <w:p>
      <w:pPr>
        <w:pStyle w:val="Heading1"/>
        <w:keepNext/>
        <w:spacing w:after="160" w:before="360"/>
      </w:pPr>
      <w:r>
        <w:t xml:space="preserve">14. Conflicts, Independence and Confidentiality</w:t>
      </w:r>
    </w:p>
    <w:p>
      <w:pPr>
        <w:pStyle w:val="ListParagraph"/>
        <w:numPr>
          <w:ilvl w:val="0"/>
          <w:numId w:val="2"/>
        </w:numPr>
        <w:spacing w:after="80" w:line="264"/>
      </w:pPr>
      <w:r>
        <w:rPr>
          <w:rFonts w:ascii="Arial" w:cs="Arial" w:eastAsia="Arial" w:hAnsi="Arial"/>
          <w:b/>
          <w:bCs/>
          <w:sz w:val="21"/>
          <w:szCs w:val="21"/>
        </w:rPr>
        <w:t xml:space="preserve">Conflicts.</w:t>
      </w:r>
      <w:r>
        <w:rPr>
          <w:rFonts w:ascii="Arial" w:cs="Arial" w:eastAsia="Arial" w:hAnsi="Arial"/>
          <w:sz w:val="21"/>
          <w:szCs w:val="21"/>
        </w:rPr>
        <w:t xml:space="preserve"> A preliminary conflicts review against the scope of this RFP has identified no conflict that would prevent Dentons KMN from acting for Netflix. We will run a full check at engagement and on every new matter, disclose any actual or potential conflict promptly, and will not seek advance, general or litigation waivers. </w:t>
      </w:r>
      <w:r>
        <w:rPr>
          <w:rFonts w:ascii="Arial" w:cs="Arial" w:eastAsia="Arial" w:hAnsi="Arial"/>
          <w:sz w:val="21"/>
          <w:szCs w:val="21"/>
          <w:shd w:fill="FFF200" w:color="auto" w:val="clear"/>
        </w:rPr>
        <w:t xml:space="preserve">[Confirm the outcome of the firm-wide conflicts check before submission.]</w:t>
      </w:r>
    </w:p>
    <w:p>
      <w:pPr>
        <w:pStyle w:val="ListParagraph"/>
        <w:numPr>
          <w:ilvl w:val="0"/>
          <w:numId w:val="2"/>
        </w:numPr>
        <w:spacing w:after="80" w:line="264"/>
      </w:pPr>
      <w:r>
        <w:rPr>
          <w:rFonts w:ascii="Arial" w:cs="Arial" w:eastAsia="Arial" w:hAnsi="Arial"/>
          <w:b/>
          <w:bCs/>
          <w:sz w:val="21"/>
          <w:szCs w:val="21"/>
        </w:rPr>
        <w:t xml:space="preserve">Confidentiality of this RFP.</w:t>
      </w:r>
      <w:r>
        <w:rPr>
          <w:rFonts w:ascii="Arial" w:cs="Arial" w:eastAsia="Arial" w:hAnsi="Arial"/>
          <w:sz w:val="21"/>
          <w:szCs w:val="21"/>
        </w:rPr>
        <w:t xml:space="preserve"> We have restricted access to the RFP materials to personnel who need them to prepare this response, who have been informed of the confidentiality requirements and who are bound to prevent unauthorized disclosure. We will return or destroy all RFP materials promptly on request.</w:t>
      </w:r>
    </w:p>
    <w:p>
      <w:pPr>
        <w:pStyle w:val="ListParagraph"/>
        <w:numPr>
          <w:ilvl w:val="0"/>
          <w:numId w:val="2"/>
        </w:numPr>
        <w:spacing w:after="80" w:line="264"/>
      </w:pPr>
      <w:r>
        <w:rPr>
          <w:rFonts w:ascii="Arial" w:cs="Arial" w:eastAsia="Arial" w:hAnsi="Arial"/>
          <w:b/>
          <w:bCs/>
          <w:sz w:val="21"/>
          <w:szCs w:val="21"/>
        </w:rPr>
        <w:t xml:space="preserve">Confidentiality of Netflix information.</w:t>
      </w:r>
      <w:r>
        <w:rPr>
          <w:rFonts w:ascii="Arial" w:cs="Arial" w:eastAsia="Arial" w:hAnsi="Arial"/>
          <w:sz w:val="21"/>
          <w:szCs w:val="21"/>
        </w:rPr>
        <w:t xml:space="preserve"> Netflix information is held in a segregated matter environment, on a least-privilege basis, encrypted in transit and at rest, and is never placed in unapproved tools or on unencrypted removable media.</w:t>
      </w:r>
    </w:p>
    <w:p>
      <w:pPr>
        <w:pStyle w:val="ListParagraph"/>
        <w:numPr>
          <w:ilvl w:val="0"/>
          <w:numId w:val="2"/>
        </w:numPr>
        <w:spacing w:after="80" w:line="264"/>
      </w:pPr>
      <w:r>
        <w:rPr>
          <w:rFonts w:ascii="Arial" w:cs="Arial" w:eastAsia="Arial" w:hAnsi="Arial"/>
          <w:b/>
          <w:bCs/>
          <w:sz w:val="21"/>
          <w:szCs w:val="21"/>
        </w:rPr>
        <w:t xml:space="preserve">Netflix intellectual property.</w:t>
      </w:r>
      <w:r>
        <w:rPr>
          <w:rFonts w:ascii="Arial" w:cs="Arial" w:eastAsia="Arial" w:hAnsi="Arial"/>
          <w:sz w:val="21"/>
          <w:szCs w:val="21"/>
        </w:rPr>
        <w:t xml:space="preserve"> We acknowledge that the RFP grants no right to use the Netflix name, logo or any Netflix content, and we will not do so.</w:t>
      </w:r>
    </w:p>
    <w:p>
      <w:pPr>
        <w:pStyle w:val="ListParagraph"/>
        <w:numPr>
          <w:ilvl w:val="0"/>
          <w:numId w:val="2"/>
        </w:numPr>
        <w:spacing w:after="80" w:line="264"/>
      </w:pPr>
      <w:r>
        <w:rPr>
          <w:rFonts w:ascii="Arial" w:cs="Arial" w:eastAsia="Arial" w:hAnsi="Arial"/>
          <w:b/>
          <w:bCs/>
          <w:sz w:val="21"/>
          <w:szCs w:val="21"/>
        </w:rPr>
        <w:t xml:space="preserve">Professional indemnity insurance.</w:t>
      </w:r>
      <w:r>
        <w:rPr>
          <w:rFonts w:ascii="Arial" w:cs="Arial" w:eastAsia="Arial" w:hAnsi="Arial"/>
          <w:sz w:val="21"/>
          <w:szCs w:val="21"/>
        </w:rPr>
        <w:t xml:space="preserve"> </w:t>
      </w:r>
      <w:r>
        <w:rPr>
          <w:rFonts w:ascii="Arial" w:cs="Arial" w:eastAsia="Arial" w:hAnsi="Arial"/>
          <w:sz w:val="21"/>
          <w:szCs w:val="21"/>
          <w:shd w:fill="FFF200" w:color="auto" w:val="clear"/>
        </w:rPr>
        <w:t xml:space="preserve">[Insert insurer, limit of indemnity and policy year.]</w:t>
      </w:r>
    </w:p>
    <w:p>
      <w:r>
        <w:br w:type="page"/>
      </w:r>
    </w:p>
    <w:p>
      <w:pPr>
        <w:pStyle w:val="Heading1"/>
        <w:keepNext/>
        <w:spacing w:after="160" w:before="360"/>
      </w:pPr>
      <w:r>
        <w:t xml:space="preserve">15. Performance Measurement</w:t>
      </w:r>
    </w:p>
    <w:p>
      <w:pPr>
        <w:spacing w:after="140" w:line="276"/>
        <w:jc w:val="left"/>
      </w:pPr>
      <w:r>
        <w:rPr>
          <w:rFonts w:ascii="Arial" w:cs="Arial" w:eastAsia="Arial" w:hAnsi="Arial"/>
          <w:sz w:val="21"/>
          <w:szCs w:val="21"/>
        </w:rPr>
        <w:t xml:space="preserve">We propose the following scorecard, reported monthly in the client dashboard and reviewed at each quarterly business review. The at-risk fee in Section 11.3 is released when at least four of the six KPIs are met in the quarter.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000"/>
        <w:gridCol w:w="3900"/>
        <w:gridCol w:w="2960"/>
      </w:tblGrid>
      <w:tr>
        <w:trPr>
          <w:cantSplit/>
          <w:tblHeader/>
        </w:trPr>
        <w:tc>
          <w:tcPr>
            <w:tcW w:type="dxa" w:w="5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w:t>
            </w:r>
          </w:p>
        </w:tc>
        <w:tc>
          <w:tcPr>
            <w:tcW w:type="dxa" w:w="20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KPI</w:t>
            </w:r>
          </w:p>
        </w:tc>
        <w:tc>
          <w:tcPr>
            <w:tcW w:type="dxa" w:w="39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Target</w:t>
            </w:r>
          </w:p>
        </w:tc>
        <w:tc>
          <w:tcPr>
            <w:tcW w:type="dxa" w:w="29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How measured</w:t>
            </w:r>
          </w:p>
        </w:tc>
      </w:tr>
      <w:tr>
        <w:trPr>
          <w:cantSplit/>
          <w:tblHeader w:val="false"/>
        </w:trPr>
        <w:tc>
          <w:tcPr>
            <w:tcW w:type="dxa" w:w="5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1</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Responsiveness</w:t>
            </w:r>
          </w:p>
        </w:tc>
        <w:tc>
          <w:tcPr>
            <w:tcW w:type="dxa" w:w="39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95% of requests acknowledged within 2 business hours; 90% of routine advice within 1 business day</w:t>
            </w:r>
          </w:p>
        </w:tc>
        <w:tc>
          <w:tcPr>
            <w:tcW w:type="dxa" w:w="29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Matter system timestamps</w:t>
            </w:r>
          </w:p>
        </w:tc>
      </w:tr>
      <w:tr>
        <w:trPr>
          <w:cantSplit/>
          <w:tblHeader w:val="false"/>
        </w:trPr>
        <w:tc>
          <w:tcPr>
            <w:tcW w:type="dxa" w:w="5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2</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Budget accuracy</w:t>
            </w:r>
          </w:p>
        </w:tc>
        <w:tc>
          <w:tcPr>
            <w:tcW w:type="dxa" w:w="39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Final fees within 10% of the written estimate on 90% of matters</w:t>
            </w:r>
          </w:p>
        </w:tc>
        <w:tc>
          <w:tcPr>
            <w:tcW w:type="dxa" w:w="2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Estimate vs invoiced fees per matter</w:t>
            </w:r>
          </w:p>
        </w:tc>
      </w:tr>
      <w:tr>
        <w:trPr>
          <w:cantSplit/>
          <w:tblHeader w:val="false"/>
        </w:trPr>
        <w:tc>
          <w:tcPr>
            <w:tcW w:type="dxa" w:w="5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3</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Accrual accuracy</w:t>
            </w:r>
          </w:p>
        </w:tc>
        <w:tc>
          <w:tcPr>
            <w:tcW w:type="dxa" w:w="39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Monthly accruals within 10% of actual invoices</w:t>
            </w:r>
          </w:p>
        </w:tc>
        <w:tc>
          <w:tcPr>
            <w:tcW w:type="dxa" w:w="29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Legal Tracker accrual vs invoice</w:t>
            </w:r>
          </w:p>
        </w:tc>
      </w:tr>
      <w:tr>
        <w:trPr>
          <w:cantSplit/>
          <w:tblHeader w:val="false"/>
        </w:trPr>
        <w:tc>
          <w:tcPr>
            <w:tcW w:type="dxa" w:w="5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4</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Invoice quality</w:t>
            </w:r>
          </w:p>
        </w:tc>
        <w:tc>
          <w:tcPr>
            <w:tcW w:type="dxa" w:w="39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At least 95% of invoices accepted first time in Legal Tracker</w:t>
            </w:r>
          </w:p>
        </w:tc>
        <w:tc>
          <w:tcPr>
            <w:tcW w:type="dxa" w:w="2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Legal Tracker rejection data</w:t>
            </w:r>
          </w:p>
        </w:tc>
      </w:tr>
      <w:tr>
        <w:trPr>
          <w:cantSplit/>
          <w:tblHeader w:val="false"/>
        </w:trPr>
        <w:tc>
          <w:tcPr>
            <w:tcW w:type="dxa" w:w="5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5</w:t>
            </w:r>
          </w:p>
        </w:tc>
        <w:tc>
          <w:tcPr>
            <w:tcW w:type="dxa" w:w="2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Translation quality</w:t>
            </w:r>
          </w:p>
        </w:tc>
        <w:tc>
          <w:tcPr>
            <w:tcW w:type="dxa" w:w="39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Substantive error rate below 1% of segments; 95% of deliveries on time</w:t>
            </w:r>
          </w:p>
        </w:tc>
        <w:tc>
          <w:tcPr>
            <w:tcW w:type="dxa" w:w="29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QA log and delivery timestamps</w:t>
            </w:r>
          </w:p>
        </w:tc>
      </w:tr>
      <w:tr>
        <w:trPr>
          <w:cantSplit/>
          <w:tblHeader w:val="false"/>
        </w:trPr>
        <w:tc>
          <w:tcPr>
            <w:tcW w:type="dxa" w:w="5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6</w:t>
            </w:r>
          </w:p>
        </w:tc>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Netflix satisfaction</w:t>
            </w:r>
          </w:p>
        </w:tc>
        <w:tc>
          <w:tcPr>
            <w:tcW w:type="dxa" w:w="39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Average score of at least 4.5 out of 5 from Netflix Matter Leads</w:t>
            </w:r>
          </w:p>
        </w:tc>
        <w:tc>
          <w:tcPr>
            <w:tcW w:type="dxa" w:w="29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Quarterly survey</w:t>
            </w:r>
          </w:p>
        </w:tc>
      </w:tr>
    </w:tbl>
    <w:p>
      <w:pPr>
        <w:spacing w:after="120"/>
      </w:pPr>
    </w:p>
    <w:p>
      <w:pPr>
        <w:spacing w:after="140" w:line="276"/>
        <w:jc w:val="left"/>
      </w:pPr>
      <w:r>
        <w:rPr>
          <w:rFonts w:ascii="Arial" w:cs="Arial" w:eastAsia="Arial" w:hAnsi="Arial"/>
          <w:sz w:val="21"/>
          <w:szCs w:val="21"/>
        </w:rPr>
        <w:t xml:space="preserve">We welcome Netflix's input on these measures and are happy to adopt Netflix's own performance framework in their place.</w:t>
      </w:r>
    </w:p>
    <w:p>
      <w:pPr>
        <w:pStyle w:val="Heading1"/>
        <w:keepNext/>
        <w:spacing w:after="160" w:before="360"/>
      </w:pPr>
      <w:r>
        <w:t xml:space="preserve">16. Onboarding and Transition Plan</w:t>
      </w:r>
    </w:p>
    <w:p>
      <w:pPr>
        <w:spacing w:after="140" w:line="276"/>
        <w:jc w:val="left"/>
      </w:pPr>
      <w:r>
        <w:rPr>
          <w:rFonts w:ascii="Arial" w:cs="Arial" w:eastAsia="Arial" w:hAnsi="Arial"/>
          <w:sz w:val="21"/>
          <w:szCs w:val="21"/>
        </w:rPr>
        <w:t xml:space="preserve">Onboarding is at our cost. Netflix will not be charged for any of the activities below.</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7360"/>
      </w:tblGrid>
      <w:tr>
        <w:trPr>
          <w:cantSplit/>
          <w:tblHeader/>
        </w:trPr>
        <w:tc>
          <w:tcPr>
            <w:tcW w:type="dxa" w:w="20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Timeframe</w:t>
            </w:r>
          </w:p>
        </w:tc>
        <w:tc>
          <w:tcPr>
            <w:tcW w:type="dxa" w:w="73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Activities</w:t>
            </w:r>
          </w:p>
        </w:tc>
      </w:tr>
      <w:tr>
        <w:trPr>
          <w:cantSplit/>
          <w:tblHeader w:val="false"/>
        </w:trPr>
        <w:tc>
          <w:tcPr>
            <w:tcW w:type="dxa" w:w="20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Award to day 10</w:t>
            </w:r>
          </w:p>
        </w:tc>
        <w:tc>
          <w:tcPr>
            <w:tcW w:type="dxa" w:w="73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Engagement letter incorporating the Guidelines and the Addendum; Legal Tracker profile and timekeeper rate submission with representation data; security point-of-contact confirmation; onboarding of the translation desk to Netflix tools and glossary; conflicts confirmation</w:t>
            </w:r>
          </w:p>
        </w:tc>
      </w:tr>
      <w:tr>
        <w:trPr>
          <w:cantSplit/>
          <w:tblHeader w:val="false"/>
        </w:trPr>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Days 10–30</w:t>
            </w:r>
          </w:p>
        </w:tc>
        <w:tc>
          <w:tcPr>
            <w:tcW w:type="dxa" w:w="73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Kick-off with each Netflix Matter Lead; intake of Netflix templates, playbooks and precedents; agreement of matter budgets and AFA selections; dashboard configured and shared; first fortnightly stand-up</w:t>
            </w:r>
          </w:p>
        </w:tc>
      </w:tr>
      <w:tr>
        <w:trPr>
          <w:cantSplit/>
          <w:tblHeader w:val="false"/>
        </w:trPr>
        <w:tc>
          <w:tcPr>
            <w:tcW w:type="dxa" w:w="200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Days 30–60</w:t>
            </w:r>
          </w:p>
        </w:tc>
        <w:tc>
          <w:tcPr>
            <w:tcW w:type="dxa" w:w="7360"/>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First monthly invoices and accruals submitted; first horizon-scanning briefing; marketing playbook and contract playbooks tailored to Netflix; translation QA metrics baseline established</w:t>
            </w:r>
          </w:p>
        </w:tc>
      </w:tr>
      <w:tr>
        <w:trPr>
          <w:cantSplit/>
          <w:tblHeader w:val="false"/>
        </w:trPr>
        <w:tc>
          <w:tcPr>
            <w:tcW w:type="dxa" w:w="2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Days 60–90</w:t>
            </w:r>
          </w:p>
        </w:tc>
        <w:tc>
          <w:tcPr>
            <w:tcW w:type="dxa" w:w="73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9"/>
                <w:szCs w:val="19"/>
              </w:rPr>
              <w:t xml:space="preserve">First quarterly business review: KPI results, spend against budget, staffing review, lessons learned, and adjustments agreed with Netflix</w:t>
            </w:r>
          </w:p>
        </w:tc>
      </w:tr>
    </w:tbl>
    <w:p>
      <w:r>
        <w:br w:type="page"/>
      </w:r>
    </w:p>
    <w:p>
      <w:pPr>
        <w:pStyle w:val="Heading1"/>
        <w:keepNext/>
        <w:spacing w:after="160" w:before="360"/>
      </w:pPr>
      <w:r>
        <w:t xml:space="preserve">17. Acceptance of RFP Terms and Closing Statement</w:t>
      </w:r>
    </w:p>
    <w:p>
      <w:pPr>
        <w:spacing w:after="140" w:line="276"/>
        <w:jc w:val="left"/>
      </w:pPr>
      <w:r>
        <w:rPr>
          <w:rFonts w:ascii="Arial" w:cs="Arial" w:eastAsia="Arial" w:hAnsi="Arial"/>
          <w:sz w:val="21"/>
          <w:szCs w:val="21"/>
        </w:rPr>
        <w:t xml:space="preserve">Dentons KMN acknowledges and agrees to the Terms and Conditions set out in the RFP, including that: Netflix may reject any or all proposals or cancel or modify the RFP at any time; Netflix is not obliged to accept the lowest-priced proposal; Netflix is not liable for any expense we incur in preparing this response; the RFP grants no right to use the Netflix name, logo or content; we will return or destroy RFP materials on request; and Netflix's decisions are final and not subject to protest or appeal. All communications regarding this RFP will be directed only to legalops-ebilling@netflix.com.</w:t>
      </w:r>
    </w:p>
    <w:p>
      <w:pPr>
        <w:spacing w:after="140" w:line="276"/>
        <w:jc w:val="left"/>
      </w:pPr>
      <w:r>
        <w:rPr>
          <w:rFonts w:ascii="Arial" w:cs="Arial" w:eastAsia="Arial" w:hAnsi="Arial"/>
          <w:sz w:val="21"/>
          <w:szCs w:val="21"/>
        </w:rPr>
        <w:t xml:space="preserve">We have prepared this proposal as we would advise Netflix: directly, practically and with a clear recommendation. We believe Dentons KMN offers Netflix the combination it is looking for, namely global reach through a single accountable team, product-focused advice delivered at Netflix's pace, a purpose-built legal translation desk, and pricing that is predictable and tied to performance. We would be delighted to discuss any aspect of this proposal during the interview period and look forward to the opportunity to work with Netflix.</w:t>
      </w:r>
    </w:p>
    <w:p>
      <w:pPr>
        <w:spacing w:after="300"/>
      </w:pPr>
    </w:p>
    <w:p>
      <w:pPr>
        <w:spacing w:after="140" w:line="276"/>
        <w:jc w:val="left"/>
      </w:pPr>
      <w:r>
        <w:rPr>
          <w:rFonts w:ascii="Arial" w:cs="Arial" w:eastAsia="Arial" w:hAnsi="Arial"/>
          <w:b/>
          <w:bCs/>
          <w:sz w:val="21"/>
          <w:szCs w:val="21"/>
          <w:shd w:fill="FFF200" w:color="auto" w:val="clear"/>
        </w:rPr>
        <w:t xml:space="preserve">[Relationship Partner name]</w:t>
      </w:r>
    </w:p>
    <w:p>
      <w:pPr>
        <w:spacing w:after="140" w:line="276"/>
        <w:jc w:val="left"/>
      </w:pPr>
      <w:r>
        <w:rPr>
          <w:rFonts w:ascii="Arial" w:cs="Arial" w:eastAsia="Arial" w:hAnsi="Arial"/>
          <w:sz w:val="21"/>
          <w:szCs w:val="21"/>
        </w:rPr>
        <w:t xml:space="preserve">Relationship Partner, Dentons KMN</w:t>
      </w:r>
    </w:p>
    <w:p>
      <w:pPr>
        <w:spacing w:after="140" w:line="276"/>
        <w:jc w:val="left"/>
      </w:pPr>
      <w:r>
        <w:rPr>
          <w:rFonts w:ascii="Arial" w:cs="Arial" w:eastAsia="Arial" w:hAnsi="Arial"/>
          <w:sz w:val="21"/>
          <w:szCs w:val="21"/>
        </w:rPr>
        <w:t xml:space="preserve">14 September 2026</w:t>
      </w:r>
    </w:p>
    <w:p>
      <w:r>
        <w:br w:type="page"/>
      </w:r>
    </w:p>
    <w:p>
      <w:pPr>
        <w:pStyle w:val="Heading1"/>
        <w:keepNext/>
        <w:spacing w:after="160" w:before="360"/>
      </w:pPr>
      <w:r>
        <w:t xml:space="preserve">Appendix A – Security Addendum Control Matrix</w:t>
      </w:r>
    </w:p>
    <w:p>
      <w:pPr>
        <w:spacing w:after="140" w:line="276"/>
        <w:jc w:val="left"/>
      </w:pPr>
      <w:r>
        <w:rPr>
          <w:rFonts w:ascii="Arial" w:cs="Arial" w:eastAsia="Arial" w:hAnsi="Arial"/>
          <w:sz w:val="21"/>
          <w:szCs w:val="21"/>
        </w:rPr>
        <w:t xml:space="preserve">Mapping of Section 2(a)–(s) of the Netflix Outside Counsel Security Addendum to Dentons KMN controls. </w:t>
      </w:r>
      <w:r>
        <w:rPr>
          <w:rFonts w:ascii="Arial" w:cs="Arial" w:eastAsia="Arial" w:hAnsi="Arial"/>
          <w:sz w:val="21"/>
          <w:szCs w:val="21"/>
          <w:shd w:fill="FFF200" w:color="auto" w:val="clear"/>
        </w:rPr>
        <w:t xml:space="preserve">[The Security Point of Contact should verify each description against current firm practice before submission.]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600"/>
        <w:gridCol w:w="3200"/>
        <w:gridCol w:w="4160"/>
        <w:gridCol w:w="1400"/>
      </w:tblGrid>
      <w:tr>
        <w:trPr>
          <w:cantSplit/>
          <w:tblHeader/>
        </w:trPr>
        <w:tc>
          <w:tcPr>
            <w:tcW w:type="dxa" w:w="6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Ref</w:t>
            </w:r>
          </w:p>
        </w:tc>
        <w:tc>
          <w:tcPr>
            <w:tcW w:type="dxa" w:w="32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Addendum requirement</w:t>
            </w:r>
          </w:p>
        </w:tc>
        <w:tc>
          <w:tcPr>
            <w:tcW w:type="dxa" w:w="41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Dentons KMN control</w:t>
            </w:r>
          </w:p>
        </w:tc>
        <w:tc>
          <w:tcPr>
            <w:tcW w:type="dxa" w:w="14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Status</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Written policies, standards and procedures for secure processing of Netflix data</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Information security policy suite reviewed annually; client-data handling standard applied to all Netflix matters</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b</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Measures to identify and mitigate internal workforce risks</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Background screening at hire, confidentiality undertakings, role-based access, joiner-mover-leaver process, insider-risk monitoring</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Logical or physical separation of Netflix data from firm and other-client data</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Matter-centric document management with ethical walls; Netflix matters restricted to the named team</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Regular security reviews, assessments, testing or audits</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Annual independent audit and penetration test; quarterly vulnerability scans; findings tracked to closure</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e</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Perimeter protection and/or zero trust architecture</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Next-generation firewalls, conditional-access and device-compliance policies, network segmentation</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Inventory of physical assets and remote device management</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Central asset register; mobile device management with remote lock and wipe on every device that can access Netflix data</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g</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Software and systems kept up to date; malware protection</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Managed patching, endpoint detection and response, email and web filtering</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h</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Timely patching of identified vulnerabilities</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Critical patches within 7 days, high within 30 days, tracked through the vulnerability-management process</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i</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Safe coding practices where applicable</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Secure development standards applied to any in-house automation; third-party software assessed before use</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j</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Change management for software and hardware</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Formal change-control board with risk assessment and roll-back planning</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k</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Log maintenance and monitoring</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Centralised logging with 24x7 security monitoring and alerting on anomalies</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Secure access, transfer and storage using up-to-date encryption</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TLS 1.2+ in transit, AES-256 at rest, encrypted client workspace for transfers; pseudonymisation where practicable</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No Netflix data on unencrypted removable storage</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Removable media blocked by policy and by endpoint controls; exceptions require encryption and approval</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n</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Least-privilege access</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Access to Netflix matters limited to the named team and reviewed quarterly</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o</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Multi-factor, passwordless/passkey or equivalent authentication</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Multi-factor authentication enforced firm-wide; passkeys being rolled out; privileged access managed separately</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Detection and remediation of security incidents</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Documented incident response plan, tested annually, with a 48-hour Netflix notification commitment</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q</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Business continuity and disaster recovery</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Documented and tested BC/DR plans with geographically separate backups and defined recovery objectives</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w:t>
            </w:r>
          </w:p>
        </w:tc>
        <w:tc>
          <w:tcPr>
            <w:tcW w:type="dxa" w:w="32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Workforce education and confidentiality obligations</w:t>
            </w:r>
          </w:p>
        </w:tc>
        <w:tc>
          <w:tcPr>
            <w:tcW w:type="dxa" w:w="41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Mandatory annual security and privacy training, phishing simulations, confidentiality obligations in every contract of employment and engagement</w:t>
            </w:r>
          </w:p>
        </w:tc>
        <w:tc>
          <w:tcPr>
            <w:tcW w:type="dxa" w:w="1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r>
        <w:trPr>
          <w:cantSplit/>
          <w:tblHeader w:val="false"/>
        </w:trPr>
        <w:tc>
          <w:tcPr>
            <w:tcW w:type="dxa" w:w="6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w:t>
            </w:r>
          </w:p>
        </w:tc>
        <w:tc>
          <w:tcPr>
            <w:tcW w:type="dxa" w:w="32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Third parties and sub-processors held to equivalent measures</w:t>
            </w:r>
          </w:p>
        </w:tc>
        <w:tc>
          <w:tcPr>
            <w:tcW w:type="dxa" w:w="416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Vendor security due diligence and contractual flow-down of equivalent obligations; sub-processor list available to Netflix on request</w:t>
            </w:r>
          </w:p>
        </w:tc>
        <w:tc>
          <w:tcPr>
            <w:tcW w:type="dxa" w:w="14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Compliant</w:t>
            </w:r>
          </w:p>
        </w:tc>
      </w:tr>
    </w:tbl>
    <w:p>
      <w:r>
        <w:br w:type="page"/>
      </w:r>
    </w:p>
    <w:p>
      <w:pPr>
        <w:pStyle w:val="Heading1"/>
        <w:keepNext/>
        <w:spacing w:after="160" w:before="360"/>
      </w:pPr>
      <w:r>
        <w:t xml:space="preserve">Appendix B – Key Contacts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300"/>
        <w:gridCol w:w="2400"/>
        <w:gridCol w:w="1660"/>
      </w:tblGrid>
      <w:tr>
        <w:trPr>
          <w:cantSplit/>
          <w:tblHeader/>
        </w:trPr>
        <w:tc>
          <w:tcPr>
            <w:tcW w:type="dxa" w:w="30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Role</w:t>
            </w:r>
          </w:p>
        </w:tc>
        <w:tc>
          <w:tcPr>
            <w:tcW w:type="dxa" w:w="23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Name</w:t>
            </w:r>
          </w:p>
        </w:tc>
        <w:tc>
          <w:tcPr>
            <w:tcW w:type="dxa" w:w="240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Email</w:t>
            </w:r>
          </w:p>
        </w:tc>
        <w:tc>
          <w:tcPr>
            <w:tcW w:type="dxa" w:w="1660"/>
            <w:shd w:fill="5B2A86" w:color="auto" w:val="clear"/>
            <w:tcMar>
              <w:top w:type="dxa" w:w="70"/>
              <w:left w:type="dxa" w:w="110"/>
              <w:bottom w:type="dxa" w:w="70"/>
              <w:right w:type="dxa" w:w="110"/>
            </w:tcMar>
            <w:vAlign w:val="top"/>
          </w:tcPr>
          <w:p>
            <w:pPr>
              <w:spacing w:after="40" w:line="252"/>
              <w:jc w:val="left"/>
            </w:pPr>
            <w:r>
              <w:rPr>
                <w:rFonts w:ascii="Arial" w:cs="Arial" w:eastAsia="Arial" w:hAnsi="Arial"/>
                <w:b/>
                <w:bCs/>
                <w:color w:val="FFFFFF"/>
                <w:sz w:val="19"/>
                <w:szCs w:val="19"/>
              </w:rPr>
              <w:t xml:space="preserve">Telephone</w:t>
            </w:r>
          </w:p>
        </w:tc>
      </w:tr>
      <w:tr>
        <w:trPr>
          <w:cantSplit/>
          <w:tblHeader w:val="false"/>
        </w:trPr>
        <w:tc>
          <w:tcPr>
            <w:tcW w:type="dxa" w:w="3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Relationship Partner</w:t>
            </w:r>
          </w:p>
        </w:tc>
        <w:tc>
          <w:tcPr>
            <w:tcW w:type="dxa" w:w="23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[Relationship Partner name]</w:t>
            </w:r>
          </w:p>
        </w:tc>
        <w:tc>
          <w:tcPr>
            <w:tcW w:type="dxa" w:w="2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[email@dentons.com]</w:t>
            </w:r>
          </w:p>
        </w:tc>
        <w:tc>
          <w:tcPr>
            <w:tcW w:type="dxa" w:w="166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[+00 000 000 0000]</w:t>
            </w:r>
          </w:p>
        </w:tc>
      </w:tr>
      <w:tr>
        <w:trPr>
          <w:cantSplit/>
          <w:tblHeader w:val="false"/>
        </w:trPr>
        <w:tc>
          <w:tcPr>
            <w:tcW w:type="dxa" w:w="3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Privacy &amp; Data Lead</w:t>
            </w:r>
          </w:p>
        </w:tc>
        <w:tc>
          <w:tcPr>
            <w:tcW w:type="dxa" w:w="2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[Privacy &amp; Data Lead name]</w:t>
            </w:r>
          </w:p>
        </w:tc>
        <w:tc>
          <w:tcPr>
            <w:tcW w:type="dxa" w:w="2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c>
          <w:tcPr>
            <w:tcW w:type="dxa" w:w="16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3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Consumer Protection &amp; Marketing Lead</w:t>
            </w:r>
          </w:p>
        </w:tc>
        <w:tc>
          <w:tcPr>
            <w:tcW w:type="dxa" w:w="23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[Consumer &amp; Marketing Lead name]</w:t>
            </w:r>
          </w:p>
        </w:tc>
        <w:tc>
          <w:tcPr>
            <w:tcW w:type="dxa" w:w="2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c>
          <w:tcPr>
            <w:tcW w:type="dxa" w:w="166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3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Patents &amp; IP Lead</w:t>
            </w:r>
          </w:p>
        </w:tc>
        <w:tc>
          <w:tcPr>
            <w:tcW w:type="dxa" w:w="2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[Patents &amp; IP Lead name]</w:t>
            </w:r>
          </w:p>
        </w:tc>
        <w:tc>
          <w:tcPr>
            <w:tcW w:type="dxa" w:w="2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c>
          <w:tcPr>
            <w:tcW w:type="dxa" w:w="16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3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Product Contracts &amp; Commercial Lead</w:t>
            </w:r>
          </w:p>
        </w:tc>
        <w:tc>
          <w:tcPr>
            <w:tcW w:type="dxa" w:w="23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[Product Contracts Lead name]</w:t>
            </w:r>
          </w:p>
        </w:tc>
        <w:tc>
          <w:tcPr>
            <w:tcW w:type="dxa" w:w="2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c>
          <w:tcPr>
            <w:tcW w:type="dxa" w:w="166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3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Translation &amp; Localization Desk Lead</w:t>
            </w:r>
          </w:p>
        </w:tc>
        <w:tc>
          <w:tcPr>
            <w:tcW w:type="dxa" w:w="2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[Translation Desk Lead name]</w:t>
            </w:r>
          </w:p>
        </w:tc>
        <w:tc>
          <w:tcPr>
            <w:tcW w:type="dxa" w:w="2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c>
          <w:tcPr>
            <w:tcW w:type="dxa" w:w="16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3000"/>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Client Service &amp; Billing Manager (Legal Tracker)</w:t>
            </w:r>
          </w:p>
        </w:tc>
        <w:tc>
          <w:tcPr>
            <w:tcW w:type="dxa" w:w="23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[Client Service / Billing Manager name]</w:t>
            </w:r>
          </w:p>
        </w:tc>
        <w:tc>
          <w:tcPr>
            <w:tcW w:type="dxa" w:w="240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[billing@dentons.com]</w:t>
            </w:r>
          </w:p>
        </w:tc>
        <w:tc>
          <w:tcPr>
            <w:tcW w:type="dxa" w:w="1660"/>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r>
        <w:trPr>
          <w:cantSplit/>
          <w:tblHeader w:val="false"/>
        </w:trPr>
        <w:tc>
          <w:tcPr>
            <w:tcW w:type="dxa" w:w="30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rPr>
              <w:t xml:space="preserve">Security Point of Contact</w:t>
            </w:r>
          </w:p>
        </w:tc>
        <w:tc>
          <w:tcPr>
            <w:tcW w:type="dxa" w:w="23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[Chief Information Security Officer name]</w:t>
            </w:r>
          </w:p>
        </w:tc>
        <w:tc>
          <w:tcPr>
            <w:tcW w:type="dxa" w:w="240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[security@dentons.com]</w:t>
            </w:r>
          </w:p>
        </w:tc>
        <w:tc>
          <w:tcPr>
            <w:tcW w:type="dxa" w:w="1660"/>
            <w:shd w:fill="F2F2F2" w:color="auto" w:val="clear"/>
            <w:tcMar>
              <w:top w:type="dxa" w:w="70"/>
              <w:left w:type="dxa" w:w="110"/>
              <w:bottom w:type="dxa" w:w="70"/>
              <w:right w:type="dxa" w:w="110"/>
            </w:tcMar>
            <w:vAlign w:val="top"/>
          </w:tcPr>
          <w:p>
            <w:pPr>
              <w:spacing w:after="40" w:line="252"/>
              <w:jc w:val="left"/>
            </w:pPr>
            <w:r>
              <w:rPr>
                <w:rFonts w:ascii="Arial" w:cs="Arial" w:eastAsia="Arial" w:hAnsi="Arial"/>
                <w:sz w:val="18"/>
                <w:szCs w:val="18"/>
                <w:shd w:fill="FFF200" w:color="auto" w:val="clear"/>
              </w:rPr>
              <w:t xml:space="preserve">[…]</w:t>
            </w:r>
          </w:p>
        </w:tc>
      </w:tr>
    </w:tbl>
    <w:p>
      <w:pPr>
        <w:spacing w:after="120"/>
      </w:pPr>
    </w:p>
    <w:p>
      <w:pPr>
        <w:spacing w:after="140" w:line="276"/>
        <w:jc w:val="left"/>
      </w:pPr>
      <w:r>
        <w:rPr>
          <w:rFonts w:ascii="Arial" w:cs="Arial" w:eastAsia="Arial" w:hAnsi="Arial"/>
          <w:sz w:val="21"/>
          <w:szCs w:val="21"/>
        </w:rPr>
        <w:t xml:space="preserve">Registered office: </w:t>
      </w:r>
      <w:r>
        <w:rPr>
          <w:rFonts w:ascii="Arial" w:cs="Arial" w:eastAsia="Arial" w:hAnsi="Arial"/>
          <w:sz w:val="21"/>
          <w:szCs w:val="21"/>
          <w:shd w:fill="FFF200" w:color="auto" w:val="clear"/>
        </w:rPr>
        <w:t xml:space="preserve">[Street address, City, Country]</w:t>
      </w: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14 September 2026    ·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A86" w:sz="6" w:space="4"/>
      </w:pBdr>
      <w:jc w:val="right"/>
    </w:pPr>
    <w:r>
      <w:rPr>
        <w:rFonts w:ascii="Arial" w:cs="Arial" w:eastAsia="Arial" w:hAnsi="Arial"/>
        <w:color w:val="595959"/>
        <w:sz w:val="16"/>
        <w:szCs w:val="16"/>
      </w:rPr>
      <w:t xml:space="preserve">Dentons KMN  |  Response to Netflix RFP – Product and Technology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1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2A8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B2A8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Dentons KMN – Response to Netflix RFP – Product and Technology Legal Services</dc:title>
  <dc:creator>Dentons KMN</dc:creator>
  <cp:lastModifiedBy>Un-named</cp:lastModifiedBy>
  <cp:revision>1</cp:revision>
  <dcterms:created xsi:type="dcterms:W3CDTF">2026-09-14T07:55:20.002Z</dcterms:created>
  <dcterms:modified xsi:type="dcterms:W3CDTF">2026-09-14T07:55:20.002Z</dcterms:modified>
</cp:coreProperties>
</file>

<file path=docProps/custom.xml><?xml version="1.0" encoding="utf-8"?>
<Properties xmlns="http://schemas.openxmlformats.org/officeDocument/2006/custom-properties" xmlns:vt="http://schemas.openxmlformats.org/officeDocument/2006/docPropsVTypes"/>
</file>