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87BA8D" w14:textId="2254AB87" w:rsidR="00566E4A" w:rsidRDefault="00566E4A" w:rsidP="00340BD8">
      <w:pPr>
        <w:spacing w:after="0" w:line="240" w:lineRule="auto"/>
        <w:rPr>
          <w:rFonts w:ascii="Times New Roman" w:hAnsi="Times New Roman"/>
          <w:b/>
          <w:iCs/>
          <w:sz w:val="28"/>
          <w:szCs w:val="28"/>
          <w:lang w:val="en-US"/>
        </w:rPr>
      </w:pPr>
      <w:r>
        <w:rPr>
          <w:rFonts w:ascii="Times New Roman" w:hAnsi="Times New Roman" w:eastAsia="Times New Roman"/>
          <w:b/>
          <w:i w:val="0"/>
          <w:sz w:val="28"/>
        </w:rPr>
        <w:t>How Much Does Machine Learning Really Improve Diabetes Risk Prediction from Population Health Indicators? An Honest, Interpretable, and Reproducible Benchmark on BRFSS 2015</w:t>
      </w:r>
    </w:p>
    <w:p w14:paraId="254520ED" w14:textId="77777777" w:rsidR="00340BD8" w:rsidRPr="00566E4A" w:rsidRDefault="00340BD8" w:rsidP="00340BD8">
      <w:pPr>
        <w:spacing w:after="0" w:line="240" w:lineRule="auto"/>
        <w:rPr>
          <w:rFonts w:ascii="Times New Roman" w:hAnsi="Times New Roman"/>
          <w:b/>
          <w:iCs/>
          <w:sz w:val="28"/>
          <w:szCs w:val="28"/>
          <w:lang w:val="en-US"/>
        </w:rPr>
      </w:pPr>
    </w:p>
    <w:p w14:paraId="54BBA726" w14:textId="3D0B8DC8" w:rsidR="006958DE" w:rsidRPr="004F729C" w:rsidRDefault="004F729C" w:rsidP="00340BD8">
      <w:pPr>
        <w:spacing w:after="0" w:line="240" w:lineRule="auto"/>
        <w:rPr>
          <w:rFonts w:ascii="Times New Roman" w:hAnsi="Times New Roman"/>
          <w:b/>
          <w:iCs/>
          <w:sz w:val="28"/>
          <w:szCs w:val="28"/>
        </w:rPr>
      </w:pPr>
      <w:r>
        <w:rPr>
          <w:rFonts w:ascii="Times New Roman" w:hAnsi="Times New Roman" w:eastAsia="Times New Roman"/>
          <w:b/>
          <w:i w:val="0"/>
          <w:sz w:val="28"/>
        </w:rPr>
        <w:t>¿Cuánto Mejora Realmente el Aprendizaje Automático la Predicción del Riesgo de Diabetes a partir de Indicadores de Salud Poblacional? Un Benchmark Honesto, Interpretable y Reproducible sobre BRFSS 2015</w:t>
      </w:r>
    </w:p>
    <w:p w14:paraId="6BE2BD76" w14:textId="77777777" w:rsidR="00055993" w:rsidRPr="004F729C" w:rsidRDefault="00055993" w:rsidP="00340BD8">
      <w:pPr>
        <w:spacing w:after="0" w:line="240" w:lineRule="auto"/>
        <w:rPr>
          <w:rFonts w:ascii="Times New Roman" w:hAnsi="Times New Roman"/>
          <w:sz w:val="24"/>
          <w:szCs w:val="24"/>
        </w:rPr>
      </w:pPr>
    </w:p>
    <w:p w14:paraId="3E0847CD" w14:textId="60069FBA" w:rsidR="006958DE" w:rsidRPr="00340BD8" w:rsidRDefault="00340BD8" w:rsidP="006958DE">
      <w:pPr>
        <w:spacing w:after="0" w:line="240" w:lineRule="auto"/>
        <w:jc w:val="both"/>
        <w:rPr>
          <w:rFonts w:ascii="Times New Roman" w:hAnsi="Times New Roman"/>
          <w:sz w:val="24"/>
          <w:szCs w:val="24"/>
        </w:rPr>
      </w:pPr>
      <w:r>
        <w:rPr>
          <w:rFonts w:ascii="Times New Roman" w:hAnsi="Times New Roman" w:eastAsia="Times New Roman"/>
          <w:b w:val="0"/>
          <w:i w:val="0"/>
          <w:sz w:val="28"/>
        </w:rPr>
        <w:t>Álvarez-Sánchez, Guillermo</w:t>
      </w:r>
      <w:r>
        <w:rPr>
          <w:rFonts w:ascii="Times New Roman" w:hAnsi="Times New Roman" w:eastAsia="Times New Roman"/>
          <w:b w:val="0"/>
          <w:i w:val="0"/>
          <w:sz w:val="20"/>
          <w:vertAlign w:val="superscript"/>
        </w:rPr>
        <w:t>a</w:t>
      </w:r>
      <w:r>
        <w:rPr>
          <w:rFonts w:ascii="Times New Roman" w:hAnsi="Times New Roman" w:eastAsia="Times New Roman"/>
          <w:b w:val="0"/>
          <w:i w:val="0"/>
          <w:sz w:val="28"/>
        </w:rPr>
        <w:t>, Peredo-Valderrama, Iván</w:t>
      </w:r>
      <w:r>
        <w:rPr>
          <w:rFonts w:ascii="Times New Roman" w:hAnsi="Times New Roman" w:eastAsia="Times New Roman"/>
          <w:b w:val="0"/>
          <w:i w:val="0"/>
          <w:sz w:val="20"/>
          <w:vertAlign w:val="superscript"/>
        </w:rPr>
        <w:t>b*</w:t>
      </w:r>
      <w:r>
        <w:rPr>
          <w:rFonts w:ascii="Times New Roman" w:hAnsi="Times New Roman" w:eastAsia="Times New Roman"/>
          <w:b w:val="0"/>
          <w:i w:val="0"/>
          <w:sz w:val="28"/>
        </w:rPr>
        <w:t>, Moya-Moya, José Javier</w:t>
      </w:r>
      <w:r>
        <w:rPr>
          <w:rFonts w:ascii="Times New Roman" w:hAnsi="Times New Roman" w:eastAsia="Times New Roman"/>
          <w:b w:val="0"/>
          <w:i w:val="0"/>
          <w:sz w:val="20"/>
          <w:vertAlign w:val="superscript"/>
        </w:rPr>
        <w:t>c</w:t>
      </w:r>
      <w:r>
        <w:rPr>
          <w:rFonts w:ascii="Times New Roman" w:hAnsi="Times New Roman" w:eastAsia="Times New Roman"/>
          <w:b w:val="0"/>
          <w:i w:val="0"/>
          <w:sz w:val="28"/>
        </w:rPr>
        <w:t xml:space="preserve"> and Pacindo-Piña, Jairo</w:t>
      </w:r>
      <w:r>
        <w:rPr>
          <w:rFonts w:ascii="Times New Roman" w:hAnsi="Times New Roman" w:eastAsia="Times New Roman"/>
          <w:b w:val="0"/>
          <w:i w:val="0"/>
          <w:sz w:val="20"/>
          <w:vertAlign w:val="superscript"/>
        </w:rPr>
        <w:t>d</w:t>
      </w:r>
    </w:p>
    <w:p w14:paraId="50EE887B" w14:textId="77777777" w:rsidR="00EA034C" w:rsidRPr="00340BD8" w:rsidRDefault="00EA034C" w:rsidP="007E55C7">
      <w:pPr>
        <w:spacing w:after="0" w:line="240" w:lineRule="auto"/>
        <w:jc w:val="both"/>
        <w:rPr>
          <w:rFonts w:ascii="Times New Roman" w:hAnsi="Times New Roman" w:cs="Times New Roman"/>
          <w:i/>
          <w:sz w:val="20"/>
          <w:szCs w:val="20"/>
        </w:rPr>
      </w:pPr>
    </w:p>
    <w:p w14:paraId="62808CB9" w14:textId="35370DFB" w:rsidR="004B0533" w:rsidRPr="00340BD8" w:rsidRDefault="00055993" w:rsidP="00685060">
      <w:pPr>
        <w:spacing w:after="0" w:line="240" w:lineRule="auto"/>
        <w:ind w:left="142" w:hanging="142"/>
        <w:jc w:val="both"/>
        <w:rPr>
          <w:rFonts w:ascii="Times New Roman" w:hAnsi="Times New Roman" w:cs="Times New Roman"/>
          <w:sz w:val="20"/>
          <w:szCs w:val="20"/>
        </w:rPr>
      </w:pPr>
      <w:r w:rsidRPr="00340BD8">
        <w:rPr>
          <w:rFonts w:ascii="Times New Roman" w:hAnsi="Times New Roman" w:cs="Times New Roman"/>
          <w:sz w:val="20"/>
          <w:szCs w:val="20"/>
          <w:vertAlign w:val="superscript"/>
        </w:rPr>
        <w:t>a</w:t>
      </w:r>
      <w:r w:rsidR="006958DE" w:rsidRPr="00340BD8">
        <w:rPr>
          <w:rFonts w:ascii="Times New Roman" w:hAnsi="Times New Roman" w:cs="Times New Roman"/>
          <w:sz w:val="20"/>
          <w:szCs w:val="20"/>
        </w:rPr>
        <w:t xml:space="preserve"> </w:t>
      </w:r>
      <w:r w:rsidRPr="00FF4217">
        <w:rPr>
          <w:rFonts w:ascii="Times New Roman" w:hAnsi="Times New Roman" w:cs="Times New Roman"/>
          <w:noProof/>
          <w:sz w:val="20"/>
          <w:szCs w:val="20"/>
          <w:lang w:eastAsia="es-MX"/>
        </w:rPr>
        <w:drawing>
          <wp:inline distT="0" distB="0" distL="0" distR="0" wp14:anchorId="2FABD22A" wp14:editId="2B1BA72F">
            <wp:extent cx="209211" cy="144000"/>
            <wp:effectExtent l="0" t="0" r="635" b="8890"/>
            <wp:docPr id="497068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211" cy="144000"/>
                    </a:xfrm>
                    <a:prstGeom prst="rect">
                      <a:avLst/>
                    </a:prstGeom>
                    <a:noFill/>
                  </pic:spPr>
                </pic:pic>
              </a:graphicData>
            </a:graphic>
          </wp:inline>
        </w:drawing>
      </w:r>
      <w:r w:rsidRPr="00340BD8">
        <w:rPr>
          <w:rFonts w:ascii="Times New Roman" w:hAnsi="Times New Roman" w:cs="Times New Roman"/>
          <w:sz w:val="20"/>
          <w:szCs w:val="20"/>
        </w:rPr>
        <w:t xml:space="preserve"> </w:t>
      </w:r>
      <w:hyperlink r:id="rId9" w:history="1">
        <w:r w:rsidR="00340BD8" w:rsidRPr="00D67103">
          <w:rPr>
            <w:rStyle w:val="Hipervnculo"/>
            <w:rFonts w:ascii="Times New Roman" w:hAnsi="Times New Roman" w:cs="Times New Roman"/>
            <w:sz w:val="20"/>
            <w:szCs w:val="20"/>
          </w:rPr>
          <w:t>Universidad Politécnica de Querétaro</w:t>
        </w:r>
      </w:hyperlink>
      <w:r w:rsidR="00340BD8" w:rsidRPr="00340BD8">
        <w:rPr>
          <w:rFonts w:ascii="Times New Roman" w:hAnsi="Times New Roman" w:cs="Times New Roman"/>
          <w:sz w:val="20"/>
          <w:szCs w:val="20"/>
        </w:rPr>
        <w:t>,</w:t>
      </w:r>
      <w:r w:rsidR="0035004B" w:rsidRPr="00340BD8">
        <w:rPr>
          <w:rFonts w:ascii="Times New Roman" w:hAnsi="Times New Roman" w:cs="Times New Roman"/>
          <w:sz w:val="20"/>
          <w:szCs w:val="20"/>
        </w:rPr>
        <w:t xml:space="preserve"> </w:t>
      </w:r>
      <w:r w:rsidR="00252090" w:rsidRPr="00252090">
        <w:rPr>
          <w:rFonts w:ascii="Times New Roman" w:hAnsi="Times New Roman" w:cs="Times New Roman"/>
          <w:noProof/>
          <w:sz w:val="20"/>
          <w:szCs w:val="20"/>
          <w:lang w:eastAsia="es-MX"/>
        </w:rPr>
        <w:drawing>
          <wp:inline distT="0" distB="0" distL="0" distR="0" wp14:anchorId="5E1B4014" wp14:editId="35E8C635">
            <wp:extent cx="133299" cy="144000"/>
            <wp:effectExtent l="0" t="0" r="635" b="8890"/>
            <wp:docPr id="1273518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18019" name="Imagen 1"/>
                    <pic:cNvPicPr/>
                  </pic:nvPicPr>
                  <pic:blipFill rotWithShape="1">
                    <a:blip r:embed="rId10"/>
                    <a:srcRect l="12304"/>
                    <a:stretch/>
                  </pic:blipFill>
                  <pic:spPr bwMode="auto">
                    <a:xfrm>
                      <a:off x="0" y="0"/>
                      <a:ext cx="133299" cy="144000"/>
                    </a:xfrm>
                    <a:prstGeom prst="rect">
                      <a:avLst/>
                    </a:prstGeom>
                    <a:ln>
                      <a:noFill/>
                    </a:ln>
                    <a:extLst>
                      <a:ext uri="{53640926-AAD7-44D8-BBD7-CCE9431645EC}">
                        <a14:shadowObscured xmlns:a14="http://schemas.microsoft.com/office/drawing/2010/main"/>
                      </a:ext>
                    </a:extLst>
                  </pic:spPr>
                </pic:pic>
              </a:graphicData>
            </a:graphic>
          </wp:inline>
        </w:drawing>
      </w:r>
      <w:r w:rsidR="00252090" w:rsidRPr="00340BD8">
        <w:rPr>
          <w:rFonts w:ascii="Times New Roman" w:hAnsi="Times New Roman" w:cs="Times New Roman"/>
          <w:sz w:val="20"/>
          <w:szCs w:val="20"/>
        </w:rPr>
        <w:t xml:space="preserve"> </w:t>
      </w:r>
      <w:hyperlink r:id="rId43">
        <w:r w:rsidR="00CA5FF5" w:rsidRPr="00CA5FF5">
          <w:rPr>
            <w:rFonts w:ascii="Times New Roman" w:hAnsi="Times New Roman" w:cs="Times New Roman"/>
            <w:color w:val="0563C1"/>
            <w:sz w:val="20"/>
            <w:szCs w:val="20"/>
            <w:u w:val="single"/>
          </w:rPr>
          <w:t>QXJ-0529-2026</w:t>
        </w:r>
      </w:hyperlink>
      <w:r w:rsidR="00252090" w:rsidRPr="00340BD8">
        <w:rPr>
          <w:rFonts w:ascii="Times New Roman" w:hAnsi="Times New Roman" w:cs="Times New Roman"/>
          <w:sz w:val="20"/>
          <w:szCs w:val="20"/>
        </w:rPr>
        <w:t xml:space="preserve">, </w:t>
      </w:r>
      <w:r w:rsidR="007E55C7" w:rsidRPr="00FF4217">
        <w:rPr>
          <w:rFonts w:ascii="Times New Roman" w:hAnsi="Times New Roman" w:cs="Times New Roman"/>
          <w:noProof/>
          <w:sz w:val="20"/>
          <w:szCs w:val="20"/>
          <w:lang w:eastAsia="es-MX"/>
        </w:rPr>
        <w:drawing>
          <wp:inline distT="0" distB="0" distL="0" distR="0" wp14:anchorId="38218D5D" wp14:editId="54FE5B82">
            <wp:extent cx="138503" cy="144000"/>
            <wp:effectExtent l="0" t="0" r="0" b="8890"/>
            <wp:docPr id="1186225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5891" name="Imagen 2"/>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5844" t="13002" r="83325" b="48280"/>
                    <a:stretch/>
                  </pic:blipFill>
                  <pic:spPr bwMode="auto">
                    <a:xfrm>
                      <a:off x="0" y="0"/>
                      <a:ext cx="138503" cy="144000"/>
                    </a:xfrm>
                    <a:prstGeom prst="rect">
                      <a:avLst/>
                    </a:prstGeom>
                    <a:noFill/>
                    <a:ln>
                      <a:noFill/>
                    </a:ln>
                    <a:extLst>
                      <a:ext uri="{53640926-AAD7-44D8-BBD7-CCE9431645EC}">
                        <a14:shadowObscured xmlns:a14="http://schemas.microsoft.com/office/drawing/2010/main"/>
                      </a:ext>
                    </a:extLst>
                  </pic:spPr>
                </pic:pic>
              </a:graphicData>
            </a:graphic>
          </wp:inline>
        </w:drawing>
      </w:r>
      <w:r w:rsidR="007E55C7" w:rsidRPr="00340BD8">
        <w:rPr>
          <w:rFonts w:ascii="Times New Roman" w:hAnsi="Times New Roman" w:cs="Times New Roman"/>
          <w:sz w:val="20"/>
          <w:szCs w:val="20"/>
        </w:rPr>
        <w:t xml:space="preserve"> </w:t>
      </w:r>
      <w:hyperlink r:id="rId44">
        <w:r w:rsidR="00D41C71" w:rsidRPr="00D41C71">
          <w:rPr>
            <w:rFonts w:ascii="Times New Roman" w:hAnsi="Times New Roman" w:cs="Times New Roman"/>
            <w:color w:val="0563C1"/>
            <w:sz w:val="20"/>
            <w:szCs w:val="20"/>
            <w:u w:val="single"/>
          </w:rPr>
          <w:t>0009-0005-6254-143X</w:t>
        </w:r>
      </w:hyperlink>
      <w:r w:rsidR="007E55C7" w:rsidRPr="00340BD8">
        <w:rPr>
          <w:rFonts w:ascii="Times New Roman" w:hAnsi="Times New Roman" w:cs="Times New Roman"/>
          <w:sz w:val="20"/>
          <w:szCs w:val="20"/>
        </w:rPr>
        <w:t xml:space="preserve">, </w:t>
      </w:r>
      <w:r w:rsidR="006958DE" w:rsidRPr="00340BD8">
        <w:rPr>
          <w:rFonts w:ascii="Times New Roman" w:hAnsi="Times New Roman" w:cs="Times New Roman"/>
          <w:sz w:val="20"/>
          <w:szCs w:val="20"/>
        </w:rPr>
        <w:t xml:space="preserve">CVU </w:t>
      </w:r>
      <w:r w:rsidR="00A00A67" w:rsidRPr="00340BD8">
        <w:rPr>
          <w:rFonts w:ascii="Times New Roman" w:hAnsi="Times New Roman" w:cs="Times New Roman" w:eastAsia="Times New Roman"/>
          <w:b w:val="0"/>
          <w:i w:val="0"/>
          <w:sz w:val="19"/>
          <w:szCs w:val="20"/>
        </w:rPr>
        <w:t>CONAHCYT</w:t>
      </w:r>
      <w:r w:rsidR="005D09C2">
        <w:rPr>
          <w:rFonts w:ascii="Times New Roman" w:hAnsi="Times New Roman" w:cs="Times New Roman"/>
          <w:sz w:val="20"/>
          <w:szCs w:val="20"/>
        </w:rPr>
        <w:t xml:space="preserve"> </w:t>
      </w:r>
      <w:hyperlink r:id="rId45">
        <w:r w:rsidR="005D09C2" w:rsidRPr="005D09C2">
          <w:rPr>
            <w:rFonts w:ascii="Times New Roman" w:hAnsi="Times New Roman" w:cs="Times New Roman"/>
            <w:color w:val="0563C1"/>
            <w:sz w:val="20"/>
            <w:szCs w:val="20"/>
            <w:u w:val="single"/>
          </w:rPr>
          <w:t>2044833</w:t>
        </w:r>
      </w:hyperlink>
    </w:p>
    <w:p w14:paraId="04F9115A" w14:textId="17993979" w:rsidR="00252090" w:rsidRPr="00340BD8" w:rsidRDefault="00055993" w:rsidP="00433C04">
      <w:pPr>
        <w:spacing w:after="0" w:line="240" w:lineRule="auto"/>
        <w:ind w:left="142" w:hanging="142"/>
        <w:jc w:val="both"/>
        <w:rPr>
          <w:rFonts w:ascii="Times New Roman" w:hAnsi="Times New Roman" w:cs="Times New Roman"/>
          <w:sz w:val="20"/>
          <w:szCs w:val="20"/>
        </w:rPr>
      </w:pPr>
      <w:r w:rsidRPr="00340BD8">
        <w:rPr>
          <w:rFonts w:ascii="Times New Roman" w:hAnsi="Times New Roman" w:cs="Times New Roman"/>
          <w:sz w:val="20"/>
          <w:szCs w:val="20"/>
          <w:vertAlign w:val="superscript"/>
        </w:rPr>
        <w:t>b</w:t>
      </w:r>
      <w:r w:rsidRPr="00340BD8">
        <w:rPr>
          <w:rFonts w:ascii="Times New Roman" w:hAnsi="Times New Roman" w:cs="Times New Roman"/>
          <w:sz w:val="20"/>
          <w:szCs w:val="20"/>
        </w:rPr>
        <w:t xml:space="preserve"> </w:t>
      </w:r>
      <w:r w:rsidR="007E55C7" w:rsidRPr="00FF4217">
        <w:rPr>
          <w:rFonts w:ascii="Times New Roman" w:hAnsi="Times New Roman" w:cs="Times New Roman"/>
          <w:noProof/>
          <w:sz w:val="20"/>
          <w:szCs w:val="20"/>
          <w:lang w:eastAsia="es-MX"/>
        </w:rPr>
        <w:drawing>
          <wp:inline distT="0" distB="0" distL="0" distR="0" wp14:anchorId="223C29EF" wp14:editId="032B31A1">
            <wp:extent cx="209211" cy="144000"/>
            <wp:effectExtent l="0" t="0" r="635" b="8890"/>
            <wp:docPr id="670601839" name="Imagen 1"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1839" name="Imagen 1" descr="Un dibujo de un perr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211" cy="144000"/>
                    </a:xfrm>
                    <a:prstGeom prst="rect">
                      <a:avLst/>
                    </a:prstGeom>
                    <a:noFill/>
                  </pic:spPr>
                </pic:pic>
              </a:graphicData>
            </a:graphic>
          </wp:inline>
        </w:drawing>
      </w:r>
      <w:r w:rsidR="007E55C7" w:rsidRPr="00340BD8">
        <w:rPr>
          <w:rFonts w:ascii="Times New Roman" w:hAnsi="Times New Roman" w:cs="Times New Roman"/>
          <w:sz w:val="20"/>
          <w:szCs w:val="20"/>
        </w:rPr>
        <w:t xml:space="preserve"> </w:t>
      </w:r>
      <w:hyperlink r:id="rId9">
        <w:r w:rsidR="00340BD8" w:rsidRPr="00340BD8">
          <w:rPr>
            <w:rFonts w:ascii="Times New Roman" w:hAnsi="Times New Roman" w:cs="Times New Roman"/>
            <w:color w:val="0563C1"/>
            <w:sz w:val="20"/>
            <w:szCs w:val="20"/>
            <w:u w:val="single"/>
          </w:rPr>
          <w:t>Universidad Politécnica de Quer</w:t>
        </w:r>
      </w:hyperlink>
      <w:hyperlink r:id="rId9">
        <w:r w:rsidR="00340BD8">
          <w:rPr>
            <w:rFonts w:ascii="Times New Roman" w:hAnsi="Times New Roman" w:cs="Times New Roman"/>
            <w:color w:val="0563C1"/>
            <w:sz w:val="20"/>
            <w:szCs w:val="20"/>
            <w:u w:val="single"/>
          </w:rPr>
          <w:t>é</w:t>
        </w:r>
      </w:hyperlink>
      <w:hyperlink r:id="rId9">
        <w:r w:rsidR="00340BD8" w:rsidRPr="00340BD8">
          <w:rPr>
            <w:rFonts w:ascii="Times New Roman" w:hAnsi="Times New Roman" w:cs="Times New Roman"/>
            <w:color w:val="0563C1"/>
            <w:sz w:val="20"/>
            <w:szCs w:val="20"/>
            <w:u w:val="single"/>
          </w:rPr>
          <w:t>taro</w:t>
        </w:r>
      </w:hyperlink>
      <w:hyperlink r:id="rId9">
        <w:r w:rsidR="00EA034C" w:rsidRPr="00340BD8">
          <w:rPr>
            <w:rFonts w:ascii="Times New Roman" w:hAnsi="Times New Roman" w:cs="Times New Roman"/>
            <w:color w:val="0563C1"/>
            <w:sz w:val="20"/>
            <w:szCs w:val="20"/>
            <w:u w:val="single"/>
          </w:rPr>
          <w:t>,</w:t>
        </w:r>
      </w:hyperlink>
      <w:hyperlink r:id="rId9">
        <w:r w:rsidR="0035004B" w:rsidRPr="00340BD8">
          <w:rPr>
            <w:rFonts w:ascii="Times New Roman" w:hAnsi="Times New Roman" w:cs="Times New Roman"/>
            <w:color w:val="0563C1"/>
            <w:sz w:val="20"/>
            <w:szCs w:val="20"/>
            <w:u w:val="single"/>
          </w:rPr>
          <w:t xml:space="preserve"> </w:t>
        </w:r>
      </w:hyperlink>
      <w:r w:rsidR="00252090" w:rsidRPr="00252090">
        <w:rPr>
          <w:rFonts w:ascii="Times New Roman" w:hAnsi="Times New Roman" w:cs="Times New Roman"/>
          <w:noProof/>
          <w:sz w:val="20"/>
          <w:szCs w:val="20"/>
          <w:lang w:eastAsia="es-MX"/>
        </w:rPr>
        <w:drawing>
          <wp:inline distT="0" distB="0" distL="0" distR="0" wp14:anchorId="4E3F9940" wp14:editId="2EA0FA88">
            <wp:extent cx="133299" cy="144000"/>
            <wp:effectExtent l="0" t="0" r="635" b="8890"/>
            <wp:docPr id="1026137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37730" name="Imagen 1"/>
                    <pic:cNvPicPr/>
                  </pic:nvPicPr>
                  <pic:blipFill rotWithShape="1">
                    <a:blip r:embed="rId10"/>
                    <a:srcRect l="12304"/>
                    <a:stretch/>
                  </pic:blipFill>
                  <pic:spPr bwMode="auto">
                    <a:xfrm>
                      <a:off x="0" y="0"/>
                      <a:ext cx="133299" cy="144000"/>
                    </a:xfrm>
                    <a:prstGeom prst="rect">
                      <a:avLst/>
                    </a:prstGeom>
                    <a:ln>
                      <a:noFill/>
                    </a:ln>
                    <a:extLst>
                      <a:ext uri="{53640926-AAD7-44D8-BBD7-CCE9431645EC}">
                        <a14:shadowObscured xmlns:a14="http://schemas.microsoft.com/office/drawing/2010/main"/>
                      </a:ext>
                    </a:extLst>
                  </pic:spPr>
                </pic:pic>
              </a:graphicData>
            </a:graphic>
          </wp:inline>
        </w:drawing>
      </w:r>
      <w:r w:rsidR="00252090" w:rsidRPr="00340BD8">
        <w:rPr>
          <w:rFonts w:ascii="Times New Roman" w:hAnsi="Times New Roman" w:cs="Times New Roman"/>
          <w:sz w:val="20"/>
          <w:szCs w:val="20"/>
        </w:rPr>
        <w:t xml:space="preserve"> </w:t>
      </w:r>
      <w:hyperlink r:id="rId46">
        <w:r w:rsidR="00713914" w:rsidRPr="00713914">
          <w:rPr>
            <w:rFonts w:ascii="Times New Roman" w:hAnsi="Times New Roman" w:cs="Times New Roman"/>
            <w:color w:val="0563C1"/>
            <w:sz w:val="20"/>
            <w:szCs w:val="20"/>
            <w:u w:val="single"/>
          </w:rPr>
          <w:t>QXI-7175-2026</w:t>
        </w:r>
      </w:hyperlink>
      <w:r w:rsidR="00252090" w:rsidRPr="00340BD8">
        <w:rPr>
          <w:rFonts w:ascii="Times New Roman" w:hAnsi="Times New Roman" w:cs="Times New Roman"/>
          <w:sz w:val="20"/>
          <w:szCs w:val="20"/>
        </w:rPr>
        <w:t xml:space="preserve">, </w:t>
      </w:r>
      <w:r w:rsidR="00252090" w:rsidRPr="00FF4217">
        <w:rPr>
          <w:rFonts w:ascii="Times New Roman" w:hAnsi="Times New Roman" w:cs="Times New Roman"/>
          <w:noProof/>
          <w:sz w:val="20"/>
          <w:szCs w:val="20"/>
          <w:lang w:eastAsia="es-MX"/>
        </w:rPr>
        <w:drawing>
          <wp:inline distT="0" distB="0" distL="0" distR="0" wp14:anchorId="5490731E" wp14:editId="449D2BE0">
            <wp:extent cx="138503" cy="144000"/>
            <wp:effectExtent l="0" t="0" r="0" b="8890"/>
            <wp:docPr id="2872723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5891" name="Imagen 2"/>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5844" t="13002" r="83325" b="48280"/>
                    <a:stretch/>
                  </pic:blipFill>
                  <pic:spPr bwMode="auto">
                    <a:xfrm>
                      <a:off x="0" y="0"/>
                      <a:ext cx="138503" cy="144000"/>
                    </a:xfrm>
                    <a:prstGeom prst="rect">
                      <a:avLst/>
                    </a:prstGeom>
                    <a:noFill/>
                    <a:ln>
                      <a:noFill/>
                    </a:ln>
                    <a:extLst>
                      <a:ext uri="{53640926-AAD7-44D8-BBD7-CCE9431645EC}">
                        <a14:shadowObscured xmlns:a14="http://schemas.microsoft.com/office/drawing/2010/main"/>
                      </a:ext>
                    </a:extLst>
                  </pic:spPr>
                </pic:pic>
              </a:graphicData>
            </a:graphic>
          </wp:inline>
        </w:drawing>
      </w:r>
      <w:r w:rsidR="00252090" w:rsidRPr="00340BD8">
        <w:rPr>
          <w:rFonts w:ascii="Times New Roman" w:hAnsi="Times New Roman" w:cs="Times New Roman"/>
          <w:sz w:val="20"/>
          <w:szCs w:val="20"/>
        </w:rPr>
        <w:t xml:space="preserve"> </w:t>
      </w:r>
      <w:hyperlink r:id="rId47">
        <w:r w:rsidR="00713914" w:rsidRPr="00713914">
          <w:rPr>
            <w:rFonts w:ascii="Times New Roman" w:hAnsi="Times New Roman" w:cs="Times New Roman"/>
            <w:color w:val="0563C1"/>
            <w:sz w:val="20"/>
            <w:szCs w:val="20"/>
            <w:u w:val="single"/>
          </w:rPr>
          <w:t>0000-0002-2484-9557</w:t>
        </w:r>
      </w:hyperlink>
      <w:r w:rsidR="00252090" w:rsidRPr="00340BD8">
        <w:rPr>
          <w:rFonts w:ascii="Times New Roman" w:hAnsi="Times New Roman" w:cs="Times New Roman"/>
          <w:sz w:val="20"/>
          <w:szCs w:val="20"/>
        </w:rPr>
        <w:t xml:space="preserve">, </w:t>
      </w:r>
      <w:r w:rsidR="00713914" w:rsidRPr="00340BD8">
        <w:rPr>
          <w:rFonts w:ascii="Times New Roman" w:hAnsi="Times New Roman" w:cs="Times New Roman" w:eastAsia="Times New Roman"/>
          <w:b w:val="0"/>
          <w:i w:val="0"/>
          <w:sz w:val="19"/>
          <w:szCs w:val="20"/>
        </w:rPr>
        <w:t>SNI-SECIHTI</w:t>
      </w:r>
      <w:hyperlink r:id="rId45">
        <w:r w:rsidR="00713914" w:rsidRPr="00713914">
          <w:rPr>
            <w:rFonts w:ascii="Times New Roman" w:hAnsi="Times New Roman" w:cs="Times New Roman"/>
            <w:color w:val="0563C1"/>
            <w:sz w:val="20"/>
            <w:szCs w:val="20"/>
            <w:u w:val="single"/>
          </w:rPr>
          <w:t xml:space="preserve"> 167230</w:t>
        </w:r>
      </w:hyperlink>
      <w:r w:rsidR="00615D1A" w:rsidRPr="00340BD8">
        <w:rPr>
          <w:rFonts w:ascii="Times New Roman" w:hAnsi="Times New Roman" w:cs="Times New Roman"/>
          <w:sz w:val="20"/>
          <w:szCs w:val="20"/>
        </w:rPr>
        <w:t xml:space="preserve"> </w:t>
      </w:r>
    </w:p>
    <w:p w14:paraId="5E3BA600" w14:textId="05F113F1" w:rsidR="006958DE" w:rsidRPr="00340BD8" w:rsidRDefault="00055993" w:rsidP="00685060">
      <w:pPr>
        <w:spacing w:after="0" w:line="240" w:lineRule="auto"/>
        <w:ind w:left="142" w:hanging="142"/>
        <w:jc w:val="both"/>
        <w:rPr>
          <w:rFonts w:ascii="Times New Roman" w:hAnsi="Times New Roman" w:cs="Times New Roman"/>
          <w:sz w:val="20"/>
          <w:szCs w:val="20"/>
        </w:rPr>
      </w:pPr>
      <w:r w:rsidRPr="00340BD8">
        <w:rPr>
          <w:rFonts w:ascii="Times New Roman" w:hAnsi="Times New Roman" w:cs="Times New Roman"/>
          <w:sz w:val="20"/>
          <w:szCs w:val="20"/>
          <w:vertAlign w:val="superscript"/>
        </w:rPr>
        <w:t>c</w:t>
      </w:r>
      <w:r w:rsidR="006958DE" w:rsidRPr="00340BD8">
        <w:rPr>
          <w:rFonts w:ascii="Times New Roman" w:hAnsi="Times New Roman" w:cs="Times New Roman"/>
          <w:sz w:val="20"/>
          <w:szCs w:val="20"/>
        </w:rPr>
        <w:t xml:space="preserve"> </w:t>
      </w:r>
      <w:r w:rsidR="007E55C7" w:rsidRPr="00FF4217">
        <w:rPr>
          <w:rFonts w:ascii="Times New Roman" w:hAnsi="Times New Roman" w:cs="Times New Roman"/>
          <w:noProof/>
          <w:sz w:val="20"/>
          <w:szCs w:val="20"/>
          <w:lang w:eastAsia="es-MX"/>
        </w:rPr>
        <w:drawing>
          <wp:inline distT="0" distB="0" distL="0" distR="0" wp14:anchorId="6A229F82" wp14:editId="08F03B9A">
            <wp:extent cx="209211" cy="144000"/>
            <wp:effectExtent l="0" t="0" r="635" b="8890"/>
            <wp:docPr id="1491577011" name="Imagen 1"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1839" name="Imagen 1" descr="Un dibujo de un perr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211" cy="144000"/>
                    </a:xfrm>
                    <a:prstGeom prst="rect">
                      <a:avLst/>
                    </a:prstGeom>
                    <a:noFill/>
                  </pic:spPr>
                </pic:pic>
              </a:graphicData>
            </a:graphic>
          </wp:inline>
        </w:drawing>
      </w:r>
      <w:r w:rsidR="007E55C7" w:rsidRPr="00340BD8">
        <w:rPr>
          <w:rFonts w:ascii="Times New Roman" w:hAnsi="Times New Roman" w:cs="Times New Roman"/>
          <w:sz w:val="20"/>
          <w:szCs w:val="20"/>
        </w:rPr>
        <w:t xml:space="preserve"> </w:t>
      </w:r>
      <w:hyperlink r:id="rId9">
        <w:r w:rsidR="00340BD8" w:rsidRPr="00340BD8">
          <w:rPr>
            <w:rFonts w:ascii="Times New Roman" w:hAnsi="Times New Roman" w:cs="Times New Roman"/>
            <w:color w:val="0563C1"/>
            <w:sz w:val="20"/>
            <w:szCs w:val="20"/>
            <w:u w:val="single"/>
          </w:rPr>
          <w:t>Universidad Politécnica de Quer</w:t>
        </w:r>
      </w:hyperlink>
      <w:hyperlink r:id="rId9">
        <w:r w:rsidR="00340BD8">
          <w:rPr>
            <w:rFonts w:ascii="Times New Roman" w:hAnsi="Times New Roman" w:cs="Times New Roman"/>
            <w:color w:val="0563C1"/>
            <w:sz w:val="20"/>
            <w:szCs w:val="20"/>
            <w:u w:val="single"/>
          </w:rPr>
          <w:t>é</w:t>
        </w:r>
      </w:hyperlink>
      <w:hyperlink r:id="rId9">
        <w:r w:rsidR="00340BD8" w:rsidRPr="00340BD8">
          <w:rPr>
            <w:rFonts w:ascii="Times New Roman" w:hAnsi="Times New Roman" w:cs="Times New Roman"/>
            <w:color w:val="0563C1"/>
            <w:sz w:val="20"/>
            <w:szCs w:val="20"/>
            <w:u w:val="single"/>
          </w:rPr>
          <w:t>taro,</w:t>
        </w:r>
      </w:hyperlink>
      <w:hyperlink r:id="rId9">
        <w:r w:rsidR="0035004B" w:rsidRPr="00340BD8">
          <w:rPr>
            <w:rFonts w:ascii="Times New Roman" w:hAnsi="Times New Roman" w:cs="Times New Roman"/>
            <w:color w:val="0563C1"/>
            <w:sz w:val="20"/>
            <w:szCs w:val="20"/>
            <w:u w:val="single"/>
          </w:rPr>
          <w:t xml:space="preserve"> </w:t>
        </w:r>
      </w:hyperlink>
      <w:r w:rsidR="00252090" w:rsidRPr="00252090">
        <w:rPr>
          <w:rFonts w:ascii="Times New Roman" w:hAnsi="Times New Roman" w:cs="Times New Roman"/>
          <w:noProof/>
          <w:sz w:val="20"/>
          <w:szCs w:val="20"/>
          <w:lang w:eastAsia="es-MX"/>
        </w:rPr>
        <w:drawing>
          <wp:inline distT="0" distB="0" distL="0" distR="0" wp14:anchorId="4606D589" wp14:editId="0F3AB520">
            <wp:extent cx="133299" cy="144000"/>
            <wp:effectExtent l="0" t="0" r="635" b="8890"/>
            <wp:docPr id="1235800194" name="Imagen 1" descr="Dibujo e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00194" name="Imagen 1" descr="Dibujo en fondo blanco&#10;&#10;Descripción generada automáticamente con confianza baja"/>
                    <pic:cNvPicPr/>
                  </pic:nvPicPr>
                  <pic:blipFill rotWithShape="1">
                    <a:blip r:embed="rId10"/>
                    <a:srcRect l="12304"/>
                    <a:stretch/>
                  </pic:blipFill>
                  <pic:spPr bwMode="auto">
                    <a:xfrm>
                      <a:off x="0" y="0"/>
                      <a:ext cx="133299" cy="144000"/>
                    </a:xfrm>
                    <a:prstGeom prst="rect">
                      <a:avLst/>
                    </a:prstGeom>
                    <a:ln>
                      <a:noFill/>
                    </a:ln>
                    <a:extLst>
                      <a:ext uri="{53640926-AAD7-44D8-BBD7-CCE9431645EC}">
                        <a14:shadowObscured xmlns:a14="http://schemas.microsoft.com/office/drawing/2010/main"/>
                      </a:ext>
                    </a:extLst>
                  </pic:spPr>
                </pic:pic>
              </a:graphicData>
            </a:graphic>
          </wp:inline>
        </w:drawing>
      </w:r>
      <w:r w:rsidR="00252090" w:rsidRPr="00340BD8">
        <w:rPr>
          <w:rFonts w:ascii="Times New Roman" w:hAnsi="Times New Roman" w:cs="Times New Roman"/>
          <w:sz w:val="20"/>
          <w:szCs w:val="20"/>
        </w:rPr>
        <w:t xml:space="preserve"> </w:t>
      </w:r>
      <w:hyperlink r:id="rId48">
        <w:r w:rsidR="00982F95" w:rsidRPr="00982F95">
          <w:rPr>
            <w:rFonts w:ascii="Times New Roman" w:hAnsi="Times New Roman" w:cs="Times New Roman"/>
            <w:color w:val="0563C1"/>
            <w:sz w:val="20"/>
            <w:szCs w:val="20"/>
            <w:u w:val="single"/>
          </w:rPr>
          <w:t>QXJ-0392-2026</w:t>
        </w:r>
      </w:hyperlink>
      <w:r w:rsidR="00252090" w:rsidRPr="00340BD8">
        <w:rPr>
          <w:rFonts w:ascii="Times New Roman" w:hAnsi="Times New Roman" w:cs="Times New Roman"/>
          <w:sz w:val="20"/>
          <w:szCs w:val="20"/>
        </w:rPr>
        <w:t xml:space="preserve">, </w:t>
      </w:r>
      <w:r w:rsidR="00252090" w:rsidRPr="00FF4217">
        <w:rPr>
          <w:rFonts w:ascii="Times New Roman" w:hAnsi="Times New Roman" w:cs="Times New Roman"/>
          <w:noProof/>
          <w:sz w:val="20"/>
          <w:szCs w:val="20"/>
          <w:lang w:eastAsia="es-MX"/>
        </w:rPr>
        <w:drawing>
          <wp:inline distT="0" distB="0" distL="0" distR="0" wp14:anchorId="5A43439F" wp14:editId="6186110A">
            <wp:extent cx="138503" cy="144000"/>
            <wp:effectExtent l="0" t="0" r="0" b="8890"/>
            <wp:docPr id="19921937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5891" name="Imagen 2"/>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5844" t="13002" r="83325" b="48280"/>
                    <a:stretch/>
                  </pic:blipFill>
                  <pic:spPr bwMode="auto">
                    <a:xfrm>
                      <a:off x="0" y="0"/>
                      <a:ext cx="138503" cy="144000"/>
                    </a:xfrm>
                    <a:prstGeom prst="rect">
                      <a:avLst/>
                    </a:prstGeom>
                    <a:noFill/>
                    <a:ln>
                      <a:noFill/>
                    </a:ln>
                    <a:extLst>
                      <a:ext uri="{53640926-AAD7-44D8-BBD7-CCE9431645EC}">
                        <a14:shadowObscured xmlns:a14="http://schemas.microsoft.com/office/drawing/2010/main"/>
                      </a:ext>
                    </a:extLst>
                  </pic:spPr>
                </pic:pic>
              </a:graphicData>
            </a:graphic>
          </wp:inline>
        </w:drawing>
      </w:r>
      <w:r w:rsidR="00252090" w:rsidRPr="00340BD8">
        <w:rPr>
          <w:rFonts w:ascii="Times New Roman" w:hAnsi="Times New Roman" w:cs="Times New Roman"/>
          <w:sz w:val="20"/>
          <w:szCs w:val="20"/>
        </w:rPr>
        <w:t xml:space="preserve"> </w:t>
      </w:r>
      <w:hyperlink r:id="rId49">
        <w:r w:rsidR="00ED00C9" w:rsidRPr="00ED00C9">
          <w:rPr>
            <w:rFonts w:ascii="Times New Roman" w:hAnsi="Times New Roman" w:cs="Times New Roman"/>
            <w:color w:val="0563C1"/>
            <w:sz w:val="20"/>
            <w:szCs w:val="20"/>
            <w:u w:val="single"/>
          </w:rPr>
          <w:t>0009-0007-3628-5000</w:t>
        </w:r>
      </w:hyperlink>
      <w:r w:rsidR="00252090" w:rsidRPr="00340BD8">
        <w:rPr>
          <w:rFonts w:ascii="Times New Roman" w:hAnsi="Times New Roman" w:cs="Times New Roman"/>
          <w:sz w:val="20"/>
          <w:szCs w:val="20"/>
        </w:rPr>
        <w:t xml:space="preserve">, </w:t>
      </w:r>
      <w:r w:rsidR="00615D1A" w:rsidRPr="00340BD8">
        <w:rPr>
          <w:rFonts w:ascii="Times New Roman" w:hAnsi="Times New Roman" w:cs="Times New Roman"/>
          <w:sz w:val="20"/>
          <w:szCs w:val="20"/>
        </w:rPr>
        <w:t xml:space="preserve">CVU </w:t>
      </w:r>
      <w:r w:rsidR="00A00A67" w:rsidRPr="00340BD8">
        <w:rPr>
          <w:rFonts w:ascii="Times New Roman" w:hAnsi="Times New Roman" w:cs="Times New Roman"/>
          <w:sz w:val="20"/>
          <w:szCs w:val="20"/>
        </w:rPr>
        <w:t>SNP</w:t>
      </w:r>
      <w:r w:rsidR="00A228CA">
        <w:rPr>
          <w:rFonts w:ascii="Times New Roman" w:hAnsi="Times New Roman" w:cs="Times New Roman"/>
          <w:sz w:val="20"/>
          <w:szCs w:val="20"/>
        </w:rPr>
        <w:t xml:space="preserve"> </w:t>
      </w:r>
      <w:hyperlink r:id="rId45">
        <w:r w:rsidR="00A228CA" w:rsidRPr="00A228CA">
          <w:rPr>
            <w:rFonts w:ascii="Times New Roman" w:hAnsi="Times New Roman" w:cs="Times New Roman"/>
            <w:color w:val="0563C1"/>
            <w:sz w:val="20"/>
            <w:szCs w:val="20"/>
            <w:u w:val="single"/>
          </w:rPr>
          <w:t>1292895</w:t>
        </w:r>
      </w:hyperlink>
      <w:r w:rsidR="00615D1A" w:rsidRPr="00340BD8">
        <w:rPr>
          <w:rFonts w:ascii="Times New Roman" w:hAnsi="Times New Roman" w:cs="Times New Roman"/>
          <w:sz w:val="20"/>
          <w:szCs w:val="20"/>
        </w:rPr>
        <w:t xml:space="preserve"> </w:t>
      </w:r>
    </w:p>
    <w:p w14:paraId="0FB206D6" w14:textId="0C29B884" w:rsidR="00252090" w:rsidRPr="00D67103" w:rsidRDefault="006958DE" w:rsidP="00685060">
      <w:pPr>
        <w:spacing w:after="0" w:line="240" w:lineRule="auto"/>
        <w:ind w:left="142" w:hanging="142"/>
        <w:jc w:val="both"/>
        <w:rPr>
          <w:rFonts w:ascii="Times New Roman" w:hAnsi="Times New Roman" w:cs="Times New Roman"/>
          <w:sz w:val="20"/>
          <w:szCs w:val="20"/>
        </w:rPr>
      </w:pPr>
      <w:r w:rsidRPr="00D67103">
        <w:rPr>
          <w:rFonts w:ascii="Times New Roman" w:hAnsi="Times New Roman" w:cs="Times New Roman"/>
          <w:sz w:val="20"/>
          <w:szCs w:val="20"/>
          <w:vertAlign w:val="superscript"/>
        </w:rPr>
        <w:t>d</w:t>
      </w:r>
      <w:r w:rsidRPr="00D67103">
        <w:rPr>
          <w:rFonts w:ascii="Times New Roman" w:hAnsi="Times New Roman" w:cs="Times New Roman"/>
          <w:sz w:val="20"/>
          <w:szCs w:val="20"/>
        </w:rPr>
        <w:t xml:space="preserve"> </w:t>
      </w:r>
      <w:r w:rsidR="007E55C7" w:rsidRPr="00FF4217">
        <w:rPr>
          <w:rFonts w:ascii="Times New Roman" w:hAnsi="Times New Roman" w:cs="Times New Roman"/>
          <w:noProof/>
          <w:sz w:val="20"/>
          <w:szCs w:val="20"/>
          <w:lang w:eastAsia="es-MX"/>
        </w:rPr>
        <w:drawing>
          <wp:inline distT="0" distB="0" distL="0" distR="0" wp14:anchorId="6A39BCDB" wp14:editId="75E262AB">
            <wp:extent cx="209211" cy="144000"/>
            <wp:effectExtent l="0" t="0" r="635" b="8890"/>
            <wp:docPr id="1217389556" name="Imagen 1"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1839" name="Imagen 1" descr="Un dibujo de un perr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211" cy="144000"/>
                    </a:xfrm>
                    <a:prstGeom prst="rect">
                      <a:avLst/>
                    </a:prstGeom>
                    <a:noFill/>
                  </pic:spPr>
                </pic:pic>
              </a:graphicData>
            </a:graphic>
          </wp:inline>
        </w:drawing>
      </w:r>
      <w:r w:rsidR="007E55C7" w:rsidRPr="00D67103">
        <w:rPr>
          <w:rFonts w:ascii="Times New Roman" w:hAnsi="Times New Roman" w:cs="Times New Roman"/>
          <w:sz w:val="20"/>
          <w:szCs w:val="20"/>
        </w:rPr>
        <w:t xml:space="preserve"> </w:t>
      </w:r>
      <w:hyperlink r:id="rId9">
        <w:r w:rsidR="00340BD8" w:rsidRPr="00340BD8">
          <w:rPr>
            <w:rFonts w:ascii="Times New Roman" w:hAnsi="Times New Roman" w:cs="Times New Roman"/>
            <w:color w:val="0563C1"/>
            <w:sz w:val="20"/>
            <w:szCs w:val="20"/>
            <w:u w:val="single"/>
          </w:rPr>
          <w:t>Universidad Politécnica de Quer</w:t>
        </w:r>
      </w:hyperlink>
      <w:hyperlink r:id="rId9">
        <w:r w:rsidR="00340BD8">
          <w:rPr>
            <w:rFonts w:ascii="Times New Roman" w:hAnsi="Times New Roman" w:cs="Times New Roman"/>
            <w:color w:val="0563C1"/>
            <w:sz w:val="20"/>
            <w:szCs w:val="20"/>
            <w:u w:val="single"/>
          </w:rPr>
          <w:t>é</w:t>
        </w:r>
      </w:hyperlink>
      <w:hyperlink r:id="rId9">
        <w:r w:rsidR="00340BD8" w:rsidRPr="00340BD8">
          <w:rPr>
            <w:rFonts w:ascii="Times New Roman" w:hAnsi="Times New Roman" w:cs="Times New Roman"/>
            <w:color w:val="0563C1"/>
            <w:sz w:val="20"/>
            <w:szCs w:val="20"/>
            <w:u w:val="single"/>
          </w:rPr>
          <w:t>taro,</w:t>
        </w:r>
      </w:hyperlink>
      <w:hyperlink r:id="rId9">
        <w:r w:rsidR="0035004B" w:rsidRPr="00D67103">
          <w:rPr>
            <w:rFonts w:ascii="Times New Roman" w:hAnsi="Times New Roman" w:cs="Times New Roman"/>
            <w:color w:val="0563C1"/>
            <w:sz w:val="20"/>
            <w:szCs w:val="20"/>
            <w:u w:val="single"/>
          </w:rPr>
          <w:t xml:space="preserve"> </w:t>
        </w:r>
      </w:hyperlink>
      <w:r w:rsidR="00252090" w:rsidRPr="00252090">
        <w:rPr>
          <w:rFonts w:ascii="Times New Roman" w:hAnsi="Times New Roman" w:cs="Times New Roman"/>
          <w:noProof/>
          <w:sz w:val="20"/>
          <w:szCs w:val="20"/>
          <w:lang w:eastAsia="es-MX"/>
        </w:rPr>
        <w:drawing>
          <wp:inline distT="0" distB="0" distL="0" distR="0" wp14:anchorId="04698522" wp14:editId="5F250CA4">
            <wp:extent cx="133299" cy="144000"/>
            <wp:effectExtent l="0" t="0" r="635" b="8890"/>
            <wp:docPr id="2115247366" name="Imagen 1" descr="Dibujo e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47366" name="Imagen 1" descr="Dibujo en fondo blanco&#10;&#10;Descripción generada automáticamente con confianza baja"/>
                    <pic:cNvPicPr/>
                  </pic:nvPicPr>
                  <pic:blipFill rotWithShape="1">
                    <a:blip r:embed="rId10"/>
                    <a:srcRect l="12304"/>
                    <a:stretch/>
                  </pic:blipFill>
                  <pic:spPr bwMode="auto">
                    <a:xfrm>
                      <a:off x="0" y="0"/>
                      <a:ext cx="133299" cy="144000"/>
                    </a:xfrm>
                    <a:prstGeom prst="rect">
                      <a:avLst/>
                    </a:prstGeom>
                    <a:ln>
                      <a:noFill/>
                    </a:ln>
                    <a:extLst>
                      <a:ext uri="{53640926-AAD7-44D8-BBD7-CCE9431645EC}">
                        <a14:shadowObscured xmlns:a14="http://schemas.microsoft.com/office/drawing/2010/main"/>
                      </a:ext>
                    </a:extLst>
                  </pic:spPr>
                </pic:pic>
              </a:graphicData>
            </a:graphic>
          </wp:inline>
        </w:drawing>
      </w:r>
      <w:r w:rsidR="00252090" w:rsidRPr="00D67103">
        <w:rPr>
          <w:rFonts w:ascii="Times New Roman" w:hAnsi="Times New Roman" w:cs="Times New Roman"/>
          <w:sz w:val="20"/>
          <w:szCs w:val="20"/>
        </w:rPr>
        <w:t xml:space="preserve"> </w:t>
      </w:r>
      <w:hyperlink r:id="rId50">
        <w:r w:rsidR="00B068B9" w:rsidRPr="00B068B9">
          <w:rPr>
            <w:rFonts w:ascii="Times New Roman" w:hAnsi="Times New Roman" w:cs="Times New Roman"/>
            <w:color w:val="0563C1"/>
            <w:sz w:val="20"/>
            <w:szCs w:val="20"/>
            <w:u w:val="single"/>
          </w:rPr>
          <w:t>QXJ-0480-2026</w:t>
        </w:r>
      </w:hyperlink>
      <w:r w:rsidR="00252090" w:rsidRPr="00D67103">
        <w:rPr>
          <w:rFonts w:ascii="Times New Roman" w:hAnsi="Times New Roman" w:cs="Times New Roman"/>
          <w:sz w:val="20"/>
          <w:szCs w:val="20"/>
        </w:rPr>
        <w:t xml:space="preserve">, </w:t>
      </w:r>
      <w:r w:rsidR="00252090" w:rsidRPr="00FF4217">
        <w:rPr>
          <w:rFonts w:ascii="Times New Roman" w:hAnsi="Times New Roman" w:cs="Times New Roman"/>
          <w:noProof/>
          <w:sz w:val="20"/>
          <w:szCs w:val="20"/>
          <w:lang w:eastAsia="es-MX"/>
        </w:rPr>
        <w:drawing>
          <wp:inline distT="0" distB="0" distL="0" distR="0" wp14:anchorId="2B62DEA0" wp14:editId="0B035AF3">
            <wp:extent cx="138503" cy="144000"/>
            <wp:effectExtent l="0" t="0" r="0" b="8890"/>
            <wp:docPr id="20852456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5891" name="Imagen 2"/>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5844" t="13002" r="83325" b="48280"/>
                    <a:stretch/>
                  </pic:blipFill>
                  <pic:spPr bwMode="auto">
                    <a:xfrm>
                      <a:off x="0" y="0"/>
                      <a:ext cx="138503" cy="144000"/>
                    </a:xfrm>
                    <a:prstGeom prst="rect">
                      <a:avLst/>
                    </a:prstGeom>
                    <a:noFill/>
                    <a:ln>
                      <a:noFill/>
                    </a:ln>
                    <a:extLst>
                      <a:ext uri="{53640926-AAD7-44D8-BBD7-CCE9431645EC}">
                        <a14:shadowObscured xmlns:a14="http://schemas.microsoft.com/office/drawing/2010/main"/>
                      </a:ext>
                    </a:extLst>
                  </pic:spPr>
                </pic:pic>
              </a:graphicData>
            </a:graphic>
          </wp:inline>
        </w:drawing>
      </w:r>
      <w:r w:rsidR="00252090" w:rsidRPr="00D67103">
        <w:rPr>
          <w:rFonts w:ascii="Times New Roman" w:hAnsi="Times New Roman" w:cs="Times New Roman"/>
          <w:sz w:val="20"/>
          <w:szCs w:val="20"/>
        </w:rPr>
        <w:t xml:space="preserve"> </w:t>
      </w:r>
      <w:hyperlink r:id="rId51">
        <w:r w:rsidR="001D62BA" w:rsidRPr="001D62BA">
          <w:rPr>
            <w:rFonts w:ascii="Times New Roman" w:hAnsi="Times New Roman" w:cs="Times New Roman"/>
            <w:color w:val="0563C1"/>
            <w:sz w:val="20"/>
            <w:szCs w:val="20"/>
            <w:u w:val="single"/>
          </w:rPr>
          <w:t>0009-0008-4895-378X</w:t>
        </w:r>
      </w:hyperlink>
      <w:r w:rsidR="006C1901">
        <w:rPr>
          <w:rFonts w:ascii="Times New Roman" w:hAnsi="Times New Roman" w:cs="Times New Roman"/>
          <w:sz w:val="20"/>
          <w:szCs w:val="20"/>
        </w:rPr>
        <w:t xml:space="preserve">, </w:t>
      </w:r>
      <w:r w:rsidR="00615D1A" w:rsidRPr="00D67103">
        <w:rPr>
          <w:rFonts w:ascii="Times New Roman" w:hAnsi="Times New Roman" w:cs="Times New Roman"/>
          <w:sz w:val="20"/>
          <w:szCs w:val="20"/>
        </w:rPr>
        <w:t xml:space="preserve">CVU </w:t>
      </w:r>
      <w:r w:rsidR="00A00A67" w:rsidRPr="00D67103">
        <w:rPr>
          <w:rFonts w:ascii="Times New Roman" w:hAnsi="Times New Roman" w:cs="Times New Roman"/>
          <w:sz w:val="20"/>
          <w:szCs w:val="20"/>
        </w:rPr>
        <w:t>SNP</w:t>
      </w:r>
      <w:r w:rsidR="00615D1A" w:rsidRPr="00D67103">
        <w:rPr>
          <w:rFonts w:ascii="Times New Roman" w:hAnsi="Times New Roman" w:cs="Times New Roman"/>
          <w:sz w:val="20"/>
          <w:szCs w:val="20"/>
        </w:rPr>
        <w:t xml:space="preserve"> </w:t>
      </w:r>
      <w:hyperlink r:id="rId45">
        <w:r w:rsidR="006C1901" w:rsidRPr="006C1901">
          <w:rPr>
            <w:rFonts w:ascii="Times New Roman" w:hAnsi="Times New Roman" w:cs="Times New Roman"/>
            <w:color w:val="0563C1"/>
            <w:sz w:val="20"/>
            <w:szCs w:val="20"/>
            <w:u w:val="single"/>
          </w:rPr>
          <w:t>2089135</w:t>
        </w:r>
      </w:hyperlink>
    </w:p>
    <w:p w14:paraId="4C38482C" w14:textId="77777777" w:rsidR="008A308C" w:rsidRPr="00D67103" w:rsidRDefault="008A308C" w:rsidP="00685060">
      <w:pPr>
        <w:spacing w:after="0" w:line="240" w:lineRule="auto"/>
        <w:ind w:left="142" w:hanging="142"/>
        <w:jc w:val="both"/>
        <w:rPr>
          <w:rFonts w:ascii="Times New Roman" w:hAnsi="Times New Roman" w:cs="Times New Roman"/>
          <w:sz w:val="20"/>
          <w:szCs w:val="20"/>
        </w:rPr>
      </w:pPr>
    </w:p>
    <w:p w14:paraId="54D7FE9E" w14:textId="574519B3" w:rsidR="00EA034C" w:rsidRPr="00FF4217" w:rsidRDefault="00EA034C" w:rsidP="00685060">
      <w:pPr>
        <w:spacing w:after="0" w:line="240" w:lineRule="auto"/>
        <w:ind w:left="142" w:hanging="142"/>
        <w:jc w:val="both"/>
        <w:rPr>
          <w:rFonts w:ascii="Times New Roman" w:hAnsi="Times New Roman" w:cs="Times New Roman"/>
          <w:sz w:val="20"/>
          <w:szCs w:val="20"/>
          <w:lang w:val="en-GB"/>
        </w:rPr>
        <w:sectPr w:rsidR="00EA034C" w:rsidRPr="00FF4217" w:rsidSect="000C1314">
          <w:headerReference w:type="default" r:id="rId20"/>
          <w:pgSz w:w="12240" w:h="18720" w:code="14"/>
          <w:pgMar w:top="1134" w:right="1134" w:bottom="1134" w:left="1134" w:header="902" w:footer="113" w:gutter="0"/>
          <w:pgNumType w:start="0"/>
          <w:cols w:space="708"/>
          <w:docGrid w:linePitch="360"/>
        </w:sectPr>
      </w:pPr>
    </w:p>
    <w:p w14:paraId="072A8929" w14:textId="3D60A532" w:rsidR="00C0136D" w:rsidRDefault="00A00A67" w:rsidP="00B41728">
      <w:pPr>
        <w:spacing w:after="0" w:line="240" w:lineRule="auto"/>
        <w:jc w:val="both"/>
        <w:rPr>
          <w:rFonts w:ascii="Times New Roman" w:hAnsi="Times New Roman"/>
          <w:sz w:val="20"/>
          <w:szCs w:val="20"/>
          <w:lang w:val="en-GB"/>
        </w:rPr>
      </w:pPr>
      <w:r w:rsidRPr="00A00A67">
        <w:rPr>
          <w:rFonts w:ascii="Times New Roman" w:hAnsi="Times New Roman"/>
          <w:b/>
          <w:bCs/>
          <w:sz w:val="20"/>
          <w:szCs w:val="20"/>
          <w:lang w:val="en-GB"/>
        </w:rPr>
        <w:lastRenderedPageBreak/>
        <w:t>SECIHTI</w:t>
      </w:r>
      <w:r w:rsidR="007E55C7" w:rsidRPr="004922BC">
        <w:rPr>
          <w:rFonts w:ascii="Times New Roman" w:hAnsi="Times New Roman"/>
          <w:b/>
          <w:bCs/>
          <w:sz w:val="20"/>
          <w:szCs w:val="20"/>
          <w:lang w:val="en-GB"/>
        </w:rPr>
        <w:t xml:space="preserve"> classification:</w:t>
      </w:r>
      <w:r w:rsidR="007E55C7" w:rsidRPr="004922BC">
        <w:rPr>
          <w:rFonts w:ascii="Times New Roman" w:hAnsi="Times New Roman"/>
          <w:sz w:val="20"/>
          <w:szCs w:val="20"/>
          <w:lang w:val="en-GB"/>
        </w:rPr>
        <w:t xml:space="preserve"> </w:t>
      </w:r>
    </w:p>
    <w:p w14:paraId="61142C07" w14:textId="77777777" w:rsidR="00565A7D" w:rsidRPr="00433C04" w:rsidRDefault="000D582E" w:rsidP="00B41728">
      <w:pPr>
        <w:spacing w:after="0" w:line="240" w:lineRule="auto"/>
        <w:jc w:val="both"/>
        <w:rPr>
          <w:rFonts w:ascii="Times New Roman" w:hAnsi="Times New Roman"/>
          <w:sz w:val="19"/>
          <w:szCs w:val="19"/>
          <w:lang w:val="en-US"/>
        </w:rPr>
      </w:pPr>
      <w:r>
        <w:rPr>
          <w:rFonts w:ascii="Times New Roman" w:hAnsi="Times New Roman" w:eastAsia="Times New Roman"/>
          <w:b w:val="0"/>
          <w:i w:val="0"/>
          <w:sz w:val="19"/>
        </w:rPr>
        <w:t xml:space="preserve">Classification reference: </w:t>
      </w:r>
      <w:hyperlink r:id="rId21">
        <w:r>
          <w:rPr>
            <w:rFonts w:ascii="Times New Roman" w:hAnsi="Times New Roman" w:eastAsia="Times New Roman"/>
            <w:color w:val="0563C1"/>
            <w:u w:val="single"/>
            <w:sz w:val="19"/>
          </w:rPr>
          <w:t>MARVID research areas</w:t>
        </w:r>
      </w:hyperlink>
    </w:p>
    <w:p w14:paraId="65F14216" w14:textId="578E16CD" w:rsidR="007E55C7" w:rsidRPr="00DF3F5E" w:rsidRDefault="007E55C7" w:rsidP="00DF3F5E">
      <w:pPr>
        <w:spacing w:after="0" w:line="240" w:lineRule="auto"/>
        <w:jc w:val="both"/>
        <w:rPr>
          <w:rFonts w:ascii="Times New Roman" w:hAnsi="Times New Roman"/>
          <w:sz w:val="20"/>
          <w:szCs w:val="20"/>
          <w:lang w:val="en-GB"/>
        </w:rPr>
      </w:pPr>
      <w:r w:rsidRPr="004922BC">
        <w:rPr>
          <w:rFonts w:ascii="Times New Roman" w:hAnsi="Times New Roman"/>
          <w:sz w:val="20"/>
          <w:szCs w:val="20"/>
          <w:lang w:val="en-GB"/>
        </w:rPr>
        <w:t>Area:</w:t>
      </w:r>
      <w:r w:rsidR="00433C04">
        <w:rPr>
          <w:rFonts w:ascii="Times New Roman" w:hAnsi="Times New Roman"/>
          <w:sz w:val="20"/>
          <w:szCs w:val="20"/>
          <w:lang w:val="en-GB"/>
        </w:rPr>
        <w:t xml:space="preserve"> </w:t>
      </w:r>
      <w:r w:rsidR="00433C04" w:rsidRPr="00433C04">
        <w:rPr>
          <w:rFonts w:ascii="Times New Roman" w:hAnsi="Times New Roman"/>
          <w:sz w:val="20"/>
          <w:szCs w:val="20"/>
          <w:lang w:val="en-GB"/>
        </w:rPr>
        <w:t>Information Technology</w:t>
      </w:r>
    </w:p>
    <w:p w14:paraId="78640A0A" w14:textId="7FA5902F" w:rsidR="007E55C7" w:rsidRPr="004922BC" w:rsidRDefault="007E55C7" w:rsidP="00DF3F5E">
      <w:pPr>
        <w:spacing w:after="0" w:line="240" w:lineRule="auto"/>
        <w:jc w:val="both"/>
        <w:rPr>
          <w:rFonts w:ascii="Times New Roman" w:hAnsi="Times New Roman"/>
          <w:sz w:val="20"/>
          <w:szCs w:val="20"/>
          <w:lang w:val="en-GB"/>
        </w:rPr>
      </w:pPr>
      <w:r w:rsidRPr="00DF3F5E">
        <w:rPr>
          <w:rFonts w:ascii="Times New Roman" w:hAnsi="Times New Roman"/>
          <w:sz w:val="20"/>
          <w:szCs w:val="20"/>
          <w:lang w:val="en-GB"/>
        </w:rPr>
        <w:t>F</w:t>
      </w:r>
      <w:r w:rsidRPr="004922BC">
        <w:rPr>
          <w:rFonts w:ascii="Times New Roman" w:hAnsi="Times New Roman"/>
          <w:sz w:val="20"/>
          <w:szCs w:val="20"/>
          <w:lang w:val="en-GB"/>
        </w:rPr>
        <w:t>i</w:t>
      </w:r>
      <w:r w:rsidR="00FF4217">
        <w:rPr>
          <w:rFonts w:ascii="Times New Roman" w:hAnsi="Times New Roman"/>
          <w:sz w:val="20"/>
          <w:szCs w:val="20"/>
          <w:lang w:val="en-GB"/>
        </w:rPr>
        <w:t>e</w:t>
      </w:r>
      <w:r w:rsidRPr="004922BC">
        <w:rPr>
          <w:rFonts w:ascii="Times New Roman" w:hAnsi="Times New Roman"/>
          <w:sz w:val="20"/>
          <w:szCs w:val="20"/>
          <w:lang w:val="en-GB"/>
        </w:rPr>
        <w:t>ld:</w:t>
      </w:r>
      <w:r w:rsidR="00433C04">
        <w:rPr>
          <w:rFonts w:ascii="Times New Roman" w:hAnsi="Times New Roman"/>
          <w:sz w:val="20"/>
          <w:szCs w:val="20"/>
          <w:lang w:val="en-GB"/>
        </w:rPr>
        <w:t xml:space="preserve"> </w:t>
      </w:r>
      <w:r w:rsidR="00433C04" w:rsidRPr="00433C04">
        <w:rPr>
          <w:rFonts w:ascii="Times New Roman" w:hAnsi="Times New Roman"/>
          <w:sz w:val="20"/>
          <w:szCs w:val="20"/>
          <w:lang w:val="en-GB"/>
        </w:rPr>
        <w:t>Artificial intelligence</w:t>
      </w:r>
    </w:p>
    <w:p w14:paraId="1FC30636" w14:textId="5130880E" w:rsidR="007E55C7" w:rsidRPr="004922BC" w:rsidRDefault="007E55C7" w:rsidP="00B41728">
      <w:pPr>
        <w:spacing w:after="0" w:line="240" w:lineRule="auto"/>
        <w:jc w:val="both"/>
        <w:rPr>
          <w:rFonts w:ascii="Times New Roman" w:hAnsi="Times New Roman"/>
          <w:sz w:val="20"/>
          <w:szCs w:val="20"/>
          <w:lang w:val="en-GB"/>
        </w:rPr>
      </w:pPr>
      <w:r w:rsidRPr="004922BC">
        <w:rPr>
          <w:rFonts w:ascii="Times New Roman" w:hAnsi="Times New Roman"/>
          <w:sz w:val="20"/>
          <w:szCs w:val="20"/>
          <w:lang w:val="en-GB"/>
        </w:rPr>
        <w:t>Discipline:</w:t>
      </w:r>
      <w:r w:rsidR="00DF3F5E">
        <w:rPr>
          <w:rFonts w:ascii="Times New Roman" w:hAnsi="Times New Roman"/>
          <w:sz w:val="20"/>
          <w:szCs w:val="20"/>
          <w:lang w:val="en-GB"/>
        </w:rPr>
        <w:t xml:space="preserve"> </w:t>
      </w:r>
      <w:r w:rsidR="00433C04" w:rsidRPr="00433C04">
        <w:rPr>
          <w:rFonts w:ascii="Times New Roman" w:hAnsi="Times New Roman"/>
          <w:sz w:val="20"/>
          <w:szCs w:val="20"/>
          <w:lang w:val="en-GB"/>
        </w:rPr>
        <w:t>Machine Learning</w:t>
      </w:r>
    </w:p>
    <w:p w14:paraId="3E8D4634" w14:textId="3C4CE477" w:rsidR="00934A46" w:rsidRPr="00D05126" w:rsidRDefault="007E55C7" w:rsidP="00E62457">
      <w:pPr>
        <w:spacing w:after="0" w:line="276" w:lineRule="auto"/>
        <w:jc w:val="both"/>
        <w:rPr>
          <w:rFonts w:ascii="Times New Roman" w:hAnsi="Times New Roman"/>
          <w:sz w:val="20"/>
          <w:szCs w:val="20"/>
          <w:lang w:val="en-US"/>
        </w:rPr>
      </w:pPr>
      <w:proofErr w:type="spellStart"/>
      <w:r w:rsidRPr="00D05126">
        <w:rPr>
          <w:rFonts w:ascii="Times New Roman" w:hAnsi="Times New Roman"/>
          <w:sz w:val="20"/>
          <w:szCs w:val="20"/>
          <w:lang w:val="en-US"/>
        </w:rPr>
        <w:t>Subdiscipline</w:t>
      </w:r>
      <w:proofErr w:type="spellEnd"/>
      <w:r w:rsidRPr="00D05126">
        <w:rPr>
          <w:rFonts w:ascii="Times New Roman" w:hAnsi="Times New Roman"/>
          <w:sz w:val="20"/>
          <w:szCs w:val="20"/>
          <w:lang w:val="en-US"/>
        </w:rPr>
        <w:t>:</w:t>
      </w:r>
      <w:r w:rsidR="00433C04" w:rsidRPr="00D05126">
        <w:rPr>
          <w:rFonts w:ascii="Times New Roman" w:hAnsi="Times New Roman"/>
          <w:sz w:val="20"/>
          <w:szCs w:val="20"/>
          <w:lang w:val="en-US"/>
        </w:rPr>
        <w:t xml:space="preserve"> Interpretable clinical prediction</w:t>
      </w:r>
    </w:p>
    <w:p w14:paraId="4797C648" w14:textId="0F30243A" w:rsidR="00C0136D" w:rsidRPr="009416CF" w:rsidRDefault="00C0136D" w:rsidP="00E62457">
      <w:pPr>
        <w:spacing w:after="0" w:line="240" w:lineRule="auto"/>
        <w:jc w:val="both"/>
        <w:rPr>
          <w:rFonts w:ascii="Times New Roman" w:hAnsi="Times New Roman"/>
          <w:lang w:val="en-US"/>
        </w:rPr>
      </w:pPr>
      <w:r w:rsidRPr="009416CF">
        <w:rPr>
          <w:rFonts w:ascii="Times New Roman" w:hAnsi="Times New Roman"/>
          <w:b/>
          <w:bCs/>
          <w:lang w:val="en-US"/>
        </w:rPr>
        <w:lastRenderedPageBreak/>
        <w:t>DOI:</w:t>
      </w:r>
      <w:r w:rsidRPr="009416CF">
        <w:rPr>
          <w:rFonts w:ascii="Times New Roman" w:hAnsi="Times New Roman"/>
          <w:lang w:val="en-US"/>
        </w:rPr>
        <w:t xml:space="preserve"> </w:t>
      </w:r>
      <w:hyperlink r:id="rId22" w:history="1">
        <w:r w:rsidR="00B01A77" w:rsidRPr="009416CF">
          <w:rPr>
            <w:rStyle w:val="Hipervnculo"/>
            <w:rFonts w:ascii="Times New Roman" w:hAnsi="Times New Roman"/>
            <w:lang w:val="en-US"/>
          </w:rPr>
          <w:t>https://doi.org/</w:t>
        </w:r>
      </w:hyperlink>
    </w:p>
    <w:p w14:paraId="23C84ECC" w14:textId="7A0E0A1B" w:rsidR="00C0136D" w:rsidRPr="00615D1A" w:rsidRDefault="00615D1A" w:rsidP="00C0136D">
      <w:pPr>
        <w:spacing w:after="0" w:line="240" w:lineRule="auto"/>
        <w:rPr>
          <w:rFonts w:ascii="Times New Roman" w:hAnsi="Times New Roman" w:cs="Times New Roman"/>
          <w:b/>
          <w:bCs/>
          <w:sz w:val="20"/>
          <w:szCs w:val="20"/>
          <w:lang w:val="en-GB"/>
        </w:rPr>
      </w:pPr>
      <w:r w:rsidRPr="00615D1A">
        <w:rPr>
          <w:rFonts w:ascii="Times New Roman" w:hAnsi="Times New Roman" w:cs="Times New Roman"/>
          <w:b/>
          <w:bCs/>
          <w:sz w:val="20"/>
          <w:szCs w:val="20"/>
          <w:lang w:val="en-GB"/>
        </w:rPr>
        <w:t>Article History:</w:t>
      </w:r>
    </w:p>
    <w:p w14:paraId="1606E406" w14:textId="76666F5A" w:rsidR="00E62457" w:rsidRDefault="00685060" w:rsidP="00C0136D">
      <w:pPr>
        <w:spacing w:after="0" w:line="240" w:lineRule="auto"/>
        <w:rPr>
          <w:rFonts w:ascii="Times New Roman" w:hAnsi="Times New Roman" w:cs="Times New Roman"/>
          <w:sz w:val="20"/>
          <w:szCs w:val="20"/>
          <w:lang w:val="en-GB"/>
        </w:rPr>
      </w:pPr>
      <w:r w:rsidRPr="00E62457">
        <w:rPr>
          <w:rFonts w:ascii="Times New Roman" w:hAnsi="Times New Roman" w:cs="Times New Roman"/>
          <w:noProof/>
          <w:sz w:val="20"/>
          <w:szCs w:val="20"/>
          <w:lang w:eastAsia="es-MX"/>
        </w:rPr>
        <w:drawing>
          <wp:anchor distT="0" distB="0" distL="114300" distR="114300" simplePos="0" relativeHeight="251671552" behindDoc="0" locked="0" layoutInCell="1" allowOverlap="1" wp14:anchorId="7FC48696" wp14:editId="087739C8">
            <wp:simplePos x="0" y="0"/>
            <wp:positionH relativeFrom="column">
              <wp:posOffset>2314575</wp:posOffset>
            </wp:positionH>
            <wp:positionV relativeFrom="paragraph">
              <wp:posOffset>29210</wp:posOffset>
            </wp:positionV>
            <wp:extent cx="606706" cy="540000"/>
            <wp:effectExtent l="0" t="0" r="3175" b="6350"/>
            <wp:wrapSquare wrapText="bothSides"/>
            <wp:docPr id="8000867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6793" name="Imagen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6706" cy="54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62457" w:rsidRPr="00E62457">
        <w:rPr>
          <w:rFonts w:ascii="Times New Roman" w:hAnsi="Times New Roman" w:cs="Times New Roman"/>
          <w:noProof/>
          <w:sz w:val="20"/>
          <w:szCs w:val="20"/>
          <w:lang w:val="en-US"/>
        </w:rPr>
        <w:t xml:space="preserve">Received: </w:t>
      </w:r>
      <w:r w:rsidR="00615D1A">
        <w:rPr>
          <w:rFonts w:ascii="Times New Roman" w:hAnsi="Times New Roman" w:cs="Times New Roman"/>
          <w:sz w:val="20"/>
          <w:szCs w:val="20"/>
          <w:lang w:val="en-GB"/>
        </w:rPr>
        <w:t>[</w:t>
      </w:r>
      <w:r w:rsidR="00E62457" w:rsidRPr="00E62457">
        <w:rPr>
          <w:rFonts w:ascii="Times New Roman" w:hAnsi="Times New Roman" w:cs="Times New Roman"/>
          <w:sz w:val="20"/>
          <w:szCs w:val="20"/>
          <w:lang w:val="en-GB"/>
        </w:rPr>
        <w:t>Use Only ECORFAN</w:t>
      </w:r>
      <w:r w:rsidR="00615D1A">
        <w:rPr>
          <w:rFonts w:ascii="Times New Roman" w:hAnsi="Times New Roman" w:cs="Times New Roman"/>
          <w:sz w:val="20"/>
          <w:szCs w:val="20"/>
          <w:lang w:val="en-GB"/>
        </w:rPr>
        <w:t>]</w:t>
      </w:r>
    </w:p>
    <w:p w14:paraId="32ECD67C" w14:textId="17EDF717" w:rsidR="00E62457" w:rsidRPr="00E62457" w:rsidRDefault="00E62457" w:rsidP="00C0136D">
      <w:pPr>
        <w:spacing w:after="0" w:line="240" w:lineRule="auto"/>
        <w:rPr>
          <w:rFonts w:ascii="Times New Roman" w:hAnsi="Times New Roman" w:cs="Times New Roman"/>
          <w:sz w:val="20"/>
          <w:szCs w:val="20"/>
          <w:lang w:val="en-GB"/>
        </w:rPr>
      </w:pPr>
      <w:r w:rsidRPr="00E62457">
        <w:rPr>
          <w:rFonts w:ascii="Times New Roman" w:hAnsi="Times New Roman" w:cs="Times New Roman"/>
          <w:noProof/>
          <w:sz w:val="20"/>
          <w:szCs w:val="20"/>
          <w:lang w:val="en-US"/>
        </w:rPr>
        <w:t xml:space="preserve">Accepted: </w:t>
      </w:r>
      <w:r w:rsidR="00615D1A">
        <w:rPr>
          <w:rFonts w:ascii="Times New Roman" w:hAnsi="Times New Roman" w:cs="Times New Roman"/>
          <w:sz w:val="20"/>
          <w:szCs w:val="20"/>
          <w:lang w:val="en-GB"/>
        </w:rPr>
        <w:t>[</w:t>
      </w:r>
      <w:r w:rsidR="00C0136D" w:rsidRPr="00E62457">
        <w:rPr>
          <w:rFonts w:ascii="Times New Roman" w:hAnsi="Times New Roman" w:cs="Times New Roman"/>
          <w:sz w:val="20"/>
          <w:szCs w:val="20"/>
          <w:lang w:val="en-GB"/>
        </w:rPr>
        <w:t>Use Only ECORFAN</w:t>
      </w:r>
      <w:r w:rsidR="00615D1A">
        <w:rPr>
          <w:rFonts w:ascii="Times New Roman" w:hAnsi="Times New Roman" w:cs="Times New Roman"/>
          <w:sz w:val="20"/>
          <w:szCs w:val="20"/>
          <w:lang w:val="en-GB"/>
        </w:rPr>
        <w:t>]</w:t>
      </w:r>
    </w:p>
    <w:p w14:paraId="7D4FD327" w14:textId="1F2CF5F7" w:rsidR="00C0136D" w:rsidRPr="008A308C" w:rsidRDefault="00E62457" w:rsidP="0035004B">
      <w:pPr>
        <w:spacing w:after="0" w:line="240" w:lineRule="auto"/>
        <w:rPr>
          <w:rFonts w:ascii="Times New Roman" w:hAnsi="Times New Roman" w:cs="Times New Roman"/>
          <w:sz w:val="20"/>
          <w:szCs w:val="20"/>
          <w:lang w:val="en-GB"/>
        </w:rPr>
        <w:sectPr w:rsidR="00C0136D" w:rsidRPr="008A308C" w:rsidSect="000C1314">
          <w:type w:val="continuous"/>
          <w:pgSz w:w="12240" w:h="18720" w:code="14"/>
          <w:pgMar w:top="1134" w:right="1134" w:bottom="1134" w:left="1134" w:header="902" w:footer="113" w:gutter="0"/>
          <w:pgNumType w:start="0"/>
          <w:cols w:num="2" w:space="708"/>
          <w:docGrid w:linePitch="360"/>
        </w:sectPr>
      </w:pPr>
      <w:r w:rsidRPr="00E62457">
        <w:rPr>
          <w:rFonts w:ascii="Times New Roman" w:hAnsi="Times New Roman" w:cs="Times New Roman"/>
          <w:sz w:val="20"/>
          <w:szCs w:val="20"/>
          <w:lang w:val="en-GB"/>
        </w:rPr>
        <w:t xml:space="preserve">  </w:t>
      </w:r>
    </w:p>
    <w:p w14:paraId="7A8A4829" w14:textId="0ACF2D18" w:rsidR="00C0136D" w:rsidRDefault="0035004B" w:rsidP="0035004B">
      <w:pPr>
        <w:spacing w:after="0" w:line="240" w:lineRule="auto"/>
        <w:rPr>
          <w:rFonts w:ascii="Times New Roman" w:eastAsia="Arial" w:hAnsi="Times New Roman"/>
          <w:b/>
          <w:color w:val="000000"/>
          <w:sz w:val="20"/>
          <w:szCs w:val="20"/>
          <w:lang w:val="en-GB" w:eastAsia="es-MX"/>
        </w:rPr>
        <w:sectPr w:rsidR="00C0136D" w:rsidSect="000C1314">
          <w:type w:val="continuous"/>
          <w:pgSz w:w="12240" w:h="18720" w:code="14"/>
          <w:pgMar w:top="1134" w:right="1134" w:bottom="1134" w:left="1134" w:header="902" w:footer="113" w:gutter="0"/>
          <w:pgNumType w:start="0"/>
          <w:cols w:space="708"/>
          <w:docGrid w:linePitch="360"/>
        </w:sectPr>
      </w:pPr>
      <w:r w:rsidRPr="0091405C">
        <w:rPr>
          <w:rFonts w:ascii="Times New Roman" w:hAnsi="Times New Roman"/>
          <w:b/>
          <w:noProof/>
          <w:sz w:val="24"/>
          <w:szCs w:val="24"/>
          <w:lang w:eastAsia="es-MX"/>
        </w:rPr>
        <w:lastRenderedPageBreak/>
        <mc:AlternateContent>
          <mc:Choice Requires="wps">
            <w:drawing>
              <wp:anchor distT="4294967295" distB="4294967295" distL="114300" distR="114300" simplePos="0" relativeHeight="251670528" behindDoc="0" locked="0" layoutInCell="1" allowOverlap="1" wp14:anchorId="73AF2290" wp14:editId="2C1AA74C">
                <wp:simplePos x="0" y="0"/>
                <wp:positionH relativeFrom="column">
                  <wp:posOffset>0</wp:posOffset>
                </wp:positionH>
                <wp:positionV relativeFrom="paragraph">
                  <wp:posOffset>12700</wp:posOffset>
                </wp:positionV>
                <wp:extent cx="6300000" cy="0"/>
                <wp:effectExtent l="0" t="0" r="0" b="0"/>
                <wp:wrapNone/>
                <wp:docPr id="1319318459"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0000"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1CF04EE" id="3 Conector recto"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1pt" to="496.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" strokeweight="1pt">
                <o:lock v:ext="edit" shapetype="f"/>
              </v:line>
            </w:pict>
          </mc:Fallback>
        </mc:AlternateContent>
      </w:r>
    </w:p>
    <w:p w14:paraId="04FD017F" w14:textId="3A63D8B7" w:rsidR="002F02D1" w:rsidRPr="008570D0" w:rsidRDefault="002F02D1" w:rsidP="002B2CDB">
      <w:pPr>
        <w:spacing w:after="0" w:line="240" w:lineRule="auto"/>
        <w:jc w:val="both"/>
        <w:rPr>
          <w:rFonts w:ascii="Times New Roman" w:eastAsia="Times New Roman" w:hAnsi="Times New Roman"/>
          <w:b/>
          <w:iCs/>
          <w:sz w:val="20"/>
          <w:szCs w:val="20"/>
          <w:lang w:val="en-US" w:eastAsia="es-MX"/>
        </w:rPr>
      </w:pPr>
    </w:p>
    <w:p w14:paraId="237DA5F8" w14:textId="2654EB7E" w:rsidR="000A0FC5" w:rsidRPr="008570D0" w:rsidRDefault="000A0FC5" w:rsidP="002B2CDB">
      <w:pPr>
        <w:spacing w:after="0" w:line="240" w:lineRule="auto"/>
        <w:jc w:val="both"/>
        <w:rPr>
          <w:rFonts w:ascii="Times New Roman" w:eastAsia="Times New Roman" w:hAnsi="Times New Roman"/>
          <w:b/>
          <w:iCs/>
          <w:sz w:val="20"/>
          <w:szCs w:val="20"/>
          <w:lang w:val="en-US" w:eastAsia="es-MX"/>
        </w:rPr>
      </w:pPr>
    </w:p>
    <w:p w14:paraId="22DB16CB" w14:textId="77777777" w:rsidR="000A0FC5" w:rsidRPr="008570D0" w:rsidRDefault="000A0FC5" w:rsidP="002B2CDB">
      <w:pPr>
        <w:spacing w:after="0" w:line="240" w:lineRule="auto"/>
        <w:jc w:val="both"/>
        <w:rPr>
          <w:rFonts w:ascii="Times New Roman" w:eastAsia="Times New Roman" w:hAnsi="Times New Roman"/>
          <w:b/>
          <w:iCs/>
          <w:sz w:val="20"/>
          <w:szCs w:val="20"/>
          <w:lang w:val="en-US" w:eastAsia="es-MX"/>
        </w:rPr>
      </w:pPr>
    </w:p>
    <w:tbl>
      <w:tblPr>
        <w:tblStyle w:val="Tablaconcuadrcula"/>
        <w:tblW w:w="0" w:type="auto"/>
        <w:tblLook w:val="04A0" w:firstRow="1" w:lastRow="0" w:firstColumn="1" w:lastColumn="0" w:noHBand="0" w:noVBand="1"/>
      </w:tblPr>
      <w:tblGrid>
        <w:gridCol w:w="9962"/>
      </w:tblGrid>
      <w:tr w:rsidR="00934A46" w:rsidRPr="00934A46" w14:paraId="592C4498" w14:textId="77777777" w:rsidTr="00934A46">
        <w:tc>
          <w:tcPr>
            <w:tcW w:w="9962" w:type="dxa"/>
            <w:shd w:val="clear" w:color="auto" w:fill="000000" w:themeFill="text1"/>
          </w:tcPr>
          <w:p w14:paraId="57DD2048" w14:textId="2FDB6500" w:rsidR="00934A46" w:rsidRPr="00934A46" w:rsidRDefault="00934A46" w:rsidP="002B2CDB">
            <w:pPr>
              <w:jc w:val="both"/>
              <w:rPr>
                <w:b/>
                <w:iCs/>
                <w:color w:val="FFFFFF" w:themeColor="background1"/>
              </w:rPr>
            </w:pPr>
            <w:r w:rsidRPr="00934A46">
              <w:rPr>
                <w:b/>
                <w:iCs/>
                <w:color w:val="FFFFFF" w:themeColor="background1"/>
              </w:rPr>
              <w:t>Key Handbooks</w:t>
            </w:r>
          </w:p>
        </w:tc>
      </w:tr>
      <w:tr w:rsidR="00934A46" w:rsidRPr="008570D0" w14:paraId="303D8237" w14:textId="77777777" w:rsidTr="00934A46">
        <w:tc>
          <w:tcPr>
            <w:tcW w:w="9962" w:type="dxa"/>
          </w:tcPr>
          <w:p>
            <w:pPr>
              <w:jc w:val="both"/>
            </w:pPr>
            <w:r/>
            <w:r>
              <w:rPr>
                <w:rFonts w:ascii="Times New Roman" w:hAnsi="Times New Roman" w:eastAsia="Times New Roman"/>
                <w:b w:val="0"/>
                <w:i w:val="0"/>
                <w:sz w:val="20"/>
              </w:rPr>
              <w:t>Provides a leakage-aware, reproducible comparison of nine diabetes risk models and demonstrates that calibration, interpretability, and admissible variables matter more than marginal gains in ROC-AUC.</w:t>
            </w:r>
          </w:p>
        </w:tc>
      </w:tr>
    </w:tbl>
    <w:p w14:paraId="3D57CA66" w14:textId="77777777" w:rsidR="00934A46" w:rsidRPr="003E1543" w:rsidRDefault="00934A46" w:rsidP="002B2CDB">
      <w:pPr>
        <w:spacing w:after="0" w:line="240" w:lineRule="auto"/>
        <w:jc w:val="both"/>
        <w:rPr>
          <w:rFonts w:ascii="Times New Roman" w:eastAsia="Times New Roman" w:hAnsi="Times New Roman"/>
          <w:b/>
          <w:iCs/>
          <w:sz w:val="20"/>
          <w:szCs w:val="20"/>
          <w:lang w:val="en-US" w:eastAsia="es-MX"/>
        </w:rPr>
      </w:pPr>
    </w:p>
    <w:p w14:paraId="1D9F5E6B"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4721292C"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41675645"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32680B70"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7136E6F1"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779F5963" w14:textId="44FF4C0E"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0E94D90F"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681EA3ED"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2AE90851" w14:textId="77777777" w:rsidR="002F02D1" w:rsidRPr="003E1543" w:rsidRDefault="002F02D1" w:rsidP="002B2CDB">
      <w:pPr>
        <w:spacing w:after="0" w:line="240" w:lineRule="auto"/>
        <w:jc w:val="both"/>
        <w:rPr>
          <w:rFonts w:ascii="Times New Roman" w:eastAsia="Times New Roman" w:hAnsi="Times New Roman"/>
          <w:b/>
          <w:iCs/>
          <w:sz w:val="20"/>
          <w:szCs w:val="20"/>
          <w:lang w:val="en-US" w:eastAsia="es-MX"/>
        </w:rPr>
      </w:pPr>
    </w:p>
    <w:p w14:paraId="5025766A" w14:textId="51A59550" w:rsidR="002F02D1" w:rsidRPr="00CB1A84" w:rsidRDefault="002F02D1" w:rsidP="002B2CDB">
      <w:pPr>
        <w:spacing w:after="0" w:line="240" w:lineRule="auto"/>
        <w:jc w:val="both"/>
        <w:rPr>
          <w:rFonts w:ascii="Times New Roman" w:eastAsia="Times New Roman" w:hAnsi="Times New Roman"/>
          <w:b/>
          <w:iCs/>
          <w:sz w:val="20"/>
          <w:szCs w:val="20"/>
          <w:lang w:val="en-GB" w:eastAsia="es-MX"/>
        </w:rPr>
      </w:pPr>
    </w:p>
    <w:p w14:paraId="1828E97B" w14:textId="7FA28EAC" w:rsidR="002F02D1" w:rsidRPr="00CB1A84" w:rsidRDefault="002F02D1" w:rsidP="002B2CDB">
      <w:pPr>
        <w:spacing w:after="0" w:line="240" w:lineRule="auto"/>
        <w:jc w:val="both"/>
        <w:rPr>
          <w:rFonts w:ascii="Times New Roman" w:eastAsia="Times New Roman" w:hAnsi="Times New Roman"/>
          <w:b/>
          <w:iCs/>
          <w:sz w:val="20"/>
          <w:szCs w:val="20"/>
          <w:lang w:val="en-US" w:eastAsia="es-MX"/>
        </w:rPr>
      </w:pPr>
    </w:p>
    <w:p w14:paraId="469646E6" w14:textId="77777777" w:rsidR="002478FC" w:rsidRPr="00CB1A84" w:rsidRDefault="002478FC" w:rsidP="002B2CDB">
      <w:pPr>
        <w:spacing w:after="0" w:line="240" w:lineRule="auto"/>
        <w:jc w:val="both"/>
        <w:rPr>
          <w:rFonts w:ascii="Times New Roman" w:eastAsia="Times New Roman" w:hAnsi="Times New Roman"/>
          <w:b/>
          <w:iCs/>
          <w:sz w:val="20"/>
          <w:szCs w:val="20"/>
          <w:lang w:val="en-GB" w:eastAsia="es-MX"/>
        </w:rPr>
      </w:pPr>
    </w:p>
    <w:p w14:paraId="16D85011" w14:textId="77777777" w:rsidR="002478FC" w:rsidRPr="00CB1A84" w:rsidRDefault="002478FC" w:rsidP="002B2CDB">
      <w:pPr>
        <w:spacing w:after="0" w:line="240" w:lineRule="auto"/>
        <w:jc w:val="both"/>
        <w:rPr>
          <w:rFonts w:ascii="Times New Roman" w:eastAsia="Times New Roman" w:hAnsi="Times New Roman"/>
          <w:b/>
          <w:iCs/>
          <w:sz w:val="20"/>
          <w:szCs w:val="20"/>
          <w:lang w:val="en-US" w:eastAsia="es-MX"/>
        </w:rPr>
      </w:pPr>
    </w:p>
    <w:p w14:paraId="09A52BD8" w14:textId="77777777" w:rsidR="00CB1A84" w:rsidRDefault="002B2CDB" w:rsidP="00CB1A84">
      <w:pPr>
        <w:spacing w:after="0" w:line="240" w:lineRule="auto"/>
        <w:jc w:val="both"/>
        <w:rPr>
          <w:rFonts w:ascii="Times New Roman" w:eastAsia="Times New Roman" w:hAnsi="Times New Roman"/>
          <w:iCs/>
          <w:sz w:val="20"/>
          <w:szCs w:val="20"/>
          <w:lang w:val="en-GB" w:eastAsia="es-MX"/>
        </w:rPr>
      </w:pPr>
      <w:r>
        <w:rPr>
          <w:rFonts w:ascii="Times New Roman" w:hAnsi="Times New Roman" w:eastAsia="Times New Roman"/>
          <w:b w:val="0"/>
          <w:i w:val="0"/>
          <w:sz w:val="20"/>
        </w:rPr>
        <w:t>Citation: Álvarez-Sánchez, Guillermo, Peredo-Valderrama, Iván, Moya-Moya, José Javier, Pacindo-Piña, Jairo. How Much Does Machine Learning Really Improve Diabetes Risk Prediction from Population Health Indicators? An Honest, Interpretable, and Reproducible Benchmark on BRFSS 2015. ECORFAN Journal-Mexico. 2026. V-N: Pages.</w:t>
      </w:r>
    </w:p>
    <w:p w14:paraId="4316CA80" w14:textId="77777777" w:rsidR="00CB1A84" w:rsidRDefault="00CB1A84" w:rsidP="00CB1A84">
      <w:pPr>
        <w:spacing w:after="0" w:line="240" w:lineRule="auto"/>
        <w:jc w:val="both"/>
        <w:rPr>
          <w:rFonts w:ascii="Times New Roman" w:eastAsia="Times New Roman" w:hAnsi="Times New Roman"/>
          <w:iCs/>
          <w:sz w:val="20"/>
          <w:szCs w:val="20"/>
          <w:lang w:val="en-GB" w:eastAsia="es-MX"/>
        </w:rPr>
      </w:pPr>
    </w:p>
    <w:p w14:paraId="6EF68716" w14:textId="60766DFE" w:rsidR="002B2CDB" w:rsidRPr="002B2CDB" w:rsidRDefault="00CB1A84" w:rsidP="00CB1A84">
      <w:pPr>
        <w:spacing w:after="0" w:line="240" w:lineRule="auto"/>
        <w:jc w:val="both"/>
        <w:rPr>
          <w:rFonts w:ascii="Times New Roman" w:eastAsia="Times New Roman" w:hAnsi="Times New Roman"/>
          <w:iCs/>
          <w:sz w:val="20"/>
          <w:szCs w:val="20"/>
          <w:lang w:val="en-GB" w:eastAsia="es-MX"/>
        </w:rPr>
      </w:pPr>
      <w:r>
        <w:rPr>
          <w:rFonts w:ascii="Times New Roman" w:hAnsi="Times New Roman" w:eastAsia="Times New Roman"/>
          <w:b w:val="0"/>
          <w:i w:val="0"/>
          <w:sz w:val="20"/>
        </w:rPr>
        <w:t xml:space="preserve">* Corresponding author: </w:t>
      </w:r>
      <w:hyperlink r:id="rId52">
        <w:r>
          <w:rPr>
            <w:rFonts w:ascii="Times New Roman" w:hAnsi="Times New Roman" w:eastAsia="Times New Roman"/>
            <w:color w:val="0563C1"/>
            <w:u w:val="single"/>
            <w:sz w:val="20"/>
          </w:rPr>
          <w:t>ivan.peredo@upq.mx</w:t>
        </w:r>
      </w:hyperlink>
    </w:p>
    <w:p w14:paraId="02A93F39" w14:textId="08B68BCE" w:rsidR="002B2CDB" w:rsidRDefault="002B2CDB" w:rsidP="002B2CDB">
      <w:pPr>
        <w:spacing w:after="0" w:line="240" w:lineRule="auto"/>
        <w:jc w:val="both"/>
        <w:rPr>
          <w:rFonts w:ascii="Times New Roman" w:hAnsi="Times New Roman"/>
          <w:sz w:val="16"/>
          <w:szCs w:val="16"/>
          <w:lang w:val="en-GB"/>
        </w:rPr>
      </w:pPr>
    </w:p>
    <w:p w14:paraId="08D909D9" w14:textId="095B83AE" w:rsidR="002478FC" w:rsidRDefault="002478FC" w:rsidP="002B2CDB">
      <w:pPr>
        <w:spacing w:after="0" w:line="240" w:lineRule="auto"/>
        <w:jc w:val="both"/>
        <w:rPr>
          <w:rFonts w:ascii="Times New Roman" w:hAnsi="Times New Roman"/>
          <w:sz w:val="16"/>
          <w:szCs w:val="16"/>
          <w:lang w:val="en-GB"/>
        </w:rPr>
      </w:pPr>
    </w:p>
    <w:p w14:paraId="386EC7B6" w14:textId="77777777" w:rsidR="002478FC" w:rsidRDefault="002478FC" w:rsidP="002B2CDB">
      <w:pPr>
        <w:spacing w:after="0" w:line="240" w:lineRule="auto"/>
        <w:jc w:val="both"/>
        <w:rPr>
          <w:rFonts w:ascii="Times New Roman" w:hAnsi="Times New Roman"/>
          <w:sz w:val="16"/>
          <w:szCs w:val="16"/>
          <w:lang w:val="en-GB"/>
        </w:rPr>
      </w:pPr>
    </w:p>
    <w:p w14:paraId="431F2F22" w14:textId="1E601142" w:rsidR="002F02D1" w:rsidRDefault="002F02D1" w:rsidP="002B2CDB">
      <w:pPr>
        <w:spacing w:after="0" w:line="240" w:lineRule="auto"/>
        <w:jc w:val="both"/>
        <w:rPr>
          <w:rFonts w:ascii="Times New Roman" w:hAnsi="Times New Roman"/>
          <w:sz w:val="16"/>
          <w:szCs w:val="16"/>
          <w:lang w:val="en-GB"/>
        </w:rPr>
      </w:pPr>
    </w:p>
    <w:p w14:paraId="187D0E35" w14:textId="1096B51D" w:rsidR="002F02D1" w:rsidRPr="002B2CDB" w:rsidRDefault="002F02D1" w:rsidP="002B2CDB">
      <w:pPr>
        <w:spacing w:after="0" w:line="240" w:lineRule="auto"/>
        <w:jc w:val="both"/>
        <w:rPr>
          <w:rFonts w:ascii="Times New Roman" w:hAnsi="Times New Roman"/>
          <w:sz w:val="16"/>
          <w:szCs w:val="16"/>
          <w:lang w:val="en-GB"/>
        </w:rPr>
      </w:pPr>
    </w:p>
    <w:p w14:paraId="348AFA1D" w14:textId="77777777" w:rsidR="002F02D1" w:rsidRDefault="002F02D1" w:rsidP="002F02D1">
      <w:pPr>
        <w:spacing w:after="0" w:line="240" w:lineRule="auto"/>
        <w:jc w:val="both"/>
        <w:rPr>
          <w:rFonts w:ascii="Times New Roman" w:hAnsi="Times New Roman"/>
          <w:sz w:val="18"/>
          <w:szCs w:val="18"/>
          <w:lang w:val="en-GB"/>
        </w:rPr>
      </w:pPr>
    </w:p>
    <w:p w14:paraId="52AA0187" w14:textId="77777777" w:rsidR="002F02D1" w:rsidRPr="00685060" w:rsidRDefault="002F02D1" w:rsidP="002F02D1">
      <w:pPr>
        <w:spacing w:after="0" w:line="240" w:lineRule="auto"/>
        <w:jc w:val="both"/>
        <w:rPr>
          <w:rFonts w:ascii="Times New Roman" w:hAnsi="Times New Roman"/>
          <w:sz w:val="2"/>
          <w:szCs w:val="2"/>
          <w:lang w:val="en-GB"/>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6120"/>
        <w:gridCol w:w="2571"/>
      </w:tblGrid>
      <w:tr w:rsidR="002F02D1" w:rsidRPr="008570D0" w14:paraId="04E87E35" w14:textId="77777777" w:rsidTr="002F02D1">
        <w:tc>
          <w:tcPr>
            <w:tcW w:w="1281" w:type="dxa"/>
          </w:tcPr>
          <w:p w14:paraId="5F096D76" w14:textId="77777777" w:rsidR="002F02D1" w:rsidRPr="00C02C52" w:rsidRDefault="002F02D1" w:rsidP="00045B9C">
            <w:pPr>
              <w:pStyle w:val="Piedepgina"/>
              <w:ind w:left="-386" w:hanging="142"/>
              <w:jc w:val="center"/>
              <w:rPr>
                <w:rFonts w:ascii="Times New Roman" w:hAnsi="Times New Roman"/>
                <w:b/>
                <w:lang w:val="en-US"/>
              </w:rPr>
            </w:pPr>
            <w:bookmarkStart w:id="1" w:name="_Hlk158985503"/>
            <w:r w:rsidRPr="00187BDA">
              <w:rPr>
                <w:b/>
                <w:noProof/>
                <w:lang w:eastAsia="es-MX"/>
              </w:rPr>
              <w:drawing>
                <wp:inline distT="0" distB="0" distL="0" distR="0" wp14:anchorId="663E687B" wp14:editId="033B1D7D">
                  <wp:extent cx="474774" cy="1044575"/>
                  <wp:effectExtent l="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22253" name="Imagen 1"/>
                          <pic:cNvPicPr/>
                        </pic:nvPicPr>
                        <pic:blipFill rotWithShape="1">
                          <a:blip r:embed="rId25"/>
                          <a:srcRect l="32227" r="30625" b="20658"/>
                          <a:stretch/>
                        </pic:blipFill>
                        <pic:spPr bwMode="auto">
                          <a:xfrm>
                            <a:off x="0" y="0"/>
                            <a:ext cx="487810" cy="1073256"/>
                          </a:xfrm>
                          <a:prstGeom prst="rect">
                            <a:avLst/>
                          </a:prstGeom>
                          <a:ln>
                            <a:noFill/>
                          </a:ln>
                          <a:extLst>
                            <a:ext uri="{53640926-AAD7-44D8-BBD7-CCE9431645EC}">
                              <a14:shadowObscured xmlns:a14="http://schemas.microsoft.com/office/drawing/2010/main"/>
                            </a:ext>
                          </a:extLst>
                        </pic:spPr>
                      </pic:pic>
                    </a:graphicData>
                  </a:graphic>
                </wp:inline>
              </w:drawing>
            </w:r>
          </w:p>
        </w:tc>
        <w:tc>
          <w:tcPr>
            <w:tcW w:w="6120" w:type="dxa"/>
          </w:tcPr>
          <w:p w14:paraId="07B92468" w14:textId="77777777" w:rsidR="002F02D1" w:rsidRDefault="002F02D1" w:rsidP="00045B9C">
            <w:pPr>
              <w:jc w:val="both"/>
              <w:rPr>
                <w:sz w:val="16"/>
                <w:szCs w:val="16"/>
                <w:lang w:val="en-GB"/>
              </w:rPr>
            </w:pPr>
          </w:p>
          <w:p w14:paraId="64B669C5" w14:textId="77777777" w:rsidR="002F02D1" w:rsidRDefault="002F02D1" w:rsidP="00045B9C">
            <w:pPr>
              <w:jc w:val="both"/>
              <w:rPr>
                <w:sz w:val="16"/>
                <w:szCs w:val="16"/>
                <w:lang w:val="en-GB"/>
              </w:rPr>
            </w:pPr>
            <w:r w:rsidRPr="00685060">
              <w:rPr>
                <w:sz w:val="16"/>
                <w:szCs w:val="16"/>
                <w:lang w:val="en-GB"/>
              </w:rPr>
              <w:t>ISSN XXXX-XXXX/© 2009 The Author</w:t>
            </w:r>
            <w:r>
              <w:rPr>
                <w:sz w:val="16"/>
                <w:szCs w:val="16"/>
                <w:lang w:val="en-GB"/>
              </w:rPr>
              <w:t>[</w:t>
            </w:r>
            <w:r w:rsidRPr="00685060">
              <w:rPr>
                <w:sz w:val="16"/>
                <w:szCs w:val="16"/>
                <w:lang w:val="en-GB"/>
              </w:rPr>
              <w:t>s</w:t>
            </w:r>
            <w:r>
              <w:rPr>
                <w:sz w:val="16"/>
                <w:szCs w:val="16"/>
                <w:lang w:val="en-GB"/>
              </w:rPr>
              <w:t>]</w:t>
            </w:r>
            <w:r w:rsidRPr="00685060">
              <w:rPr>
                <w:sz w:val="16"/>
                <w:szCs w:val="16"/>
                <w:lang w:val="en-GB"/>
              </w:rPr>
              <w:t xml:space="preserve">. Published by ECORFAN-Mexico, S.C. for its Holding X on behalf of Journal X. This is an open access article under the CC BY-NC-ND license </w:t>
            </w:r>
            <w:r>
              <w:rPr>
                <w:sz w:val="16"/>
                <w:szCs w:val="16"/>
                <w:lang w:val="en-GB"/>
              </w:rPr>
              <w:t>[</w:t>
            </w:r>
            <w:hyperlink r:id="rId26" w:history="1">
              <w:r w:rsidRPr="00717A89">
                <w:rPr>
                  <w:rStyle w:val="Hipervnculo"/>
                  <w:sz w:val="16"/>
                  <w:szCs w:val="16"/>
                  <w:lang w:val="en-GB"/>
                </w:rPr>
                <w:t>http://creativecommons.org/licenses/by-nc-nd/4.0/</w:t>
              </w:r>
            </w:hyperlink>
            <w:r>
              <w:rPr>
                <w:rStyle w:val="Hipervnculo"/>
                <w:color w:val="auto"/>
                <w:sz w:val="16"/>
                <w:szCs w:val="16"/>
                <w:lang w:val="en-GB"/>
              </w:rPr>
              <w:t>]</w:t>
            </w:r>
          </w:p>
          <w:p w14:paraId="4504890D" w14:textId="77777777" w:rsidR="002F02D1" w:rsidRPr="00685060" w:rsidRDefault="002F02D1" w:rsidP="00045B9C">
            <w:pPr>
              <w:jc w:val="both"/>
              <w:rPr>
                <w:sz w:val="16"/>
                <w:szCs w:val="16"/>
                <w:lang w:val="en-GB"/>
              </w:rPr>
            </w:pPr>
          </w:p>
          <w:p w14:paraId="5A0A936F" w14:textId="77777777" w:rsidR="002F02D1" w:rsidRPr="00685060" w:rsidRDefault="002F02D1" w:rsidP="00045B9C">
            <w:pPr>
              <w:jc w:val="both"/>
              <w:rPr>
                <w:sz w:val="16"/>
                <w:szCs w:val="16"/>
                <w:lang w:val="en-GB"/>
              </w:rPr>
            </w:pPr>
            <w:r w:rsidRPr="00685060">
              <w:rPr>
                <w:rFonts w:hint="eastAsia"/>
                <w:sz w:val="16"/>
                <w:szCs w:val="16"/>
                <w:lang w:val="en-GB"/>
              </w:rPr>
              <w:t xml:space="preserve">Peer Review under the responsibility of the Scientific Committee </w:t>
            </w:r>
            <w:hyperlink r:id="rId27" w:history="1">
              <w:r w:rsidRPr="00685060">
                <w:rPr>
                  <w:rStyle w:val="Hipervnculo"/>
                  <w:rFonts w:hint="eastAsia"/>
                  <w:color w:val="auto"/>
                  <w:sz w:val="16"/>
                  <w:szCs w:val="16"/>
                  <w:lang w:val="en-GB"/>
                </w:rPr>
                <w:t>MARVID</w:t>
              </w:r>
              <w:r w:rsidRPr="00615D1A">
                <w:rPr>
                  <w:rStyle w:val="Hipervnculo"/>
                  <w:color w:val="auto"/>
                  <w:vertAlign w:val="superscript"/>
                  <w:lang w:val="en-GB"/>
                </w:rPr>
                <w:t>®</w:t>
              </w:r>
            </w:hyperlink>
            <w:r w:rsidRPr="00685060">
              <w:rPr>
                <w:rFonts w:hint="eastAsia"/>
                <w:sz w:val="16"/>
                <w:szCs w:val="16"/>
                <w:lang w:val="en-GB"/>
              </w:rPr>
              <w:t>- in contribution to the scientific, technological and innovation Peer Review Process by training Human Resources for the continuity in the Critical Analysis of International Research</w:t>
            </w:r>
            <w:r w:rsidRPr="00685060">
              <w:rPr>
                <w:sz w:val="16"/>
                <w:szCs w:val="16"/>
                <w:lang w:val="en-GB"/>
              </w:rPr>
              <w:t>.</w:t>
            </w:r>
          </w:p>
        </w:tc>
        <w:tc>
          <w:tcPr>
            <w:tcW w:w="2571" w:type="dxa"/>
          </w:tcPr>
          <w:p w14:paraId="62C6EFC0" w14:textId="77777777" w:rsidR="002F02D1" w:rsidRPr="004F729C" w:rsidRDefault="002F02D1" w:rsidP="00045B9C">
            <w:pPr>
              <w:pStyle w:val="Piedepgina"/>
              <w:jc w:val="right"/>
              <w:rPr>
                <w:rFonts w:ascii="Times New Roman" w:hAnsi="Times New Roman"/>
                <w:b/>
                <w:lang w:val="en-US"/>
              </w:rPr>
            </w:pPr>
            <w:r w:rsidRPr="00596D37">
              <w:rPr>
                <w:rFonts w:ascii="Times New Roman" w:hAnsi="Times New Roman"/>
                <w:noProof/>
                <w:sz w:val="18"/>
                <w:szCs w:val="18"/>
                <w:lang w:eastAsia="es-MX"/>
              </w:rPr>
              <w:drawing>
                <wp:anchor distT="0" distB="0" distL="114300" distR="114300" simplePos="0" relativeHeight="251673600" behindDoc="0" locked="0" layoutInCell="1" allowOverlap="1" wp14:anchorId="0DE6FFFB" wp14:editId="71F7032B">
                  <wp:simplePos x="0" y="0"/>
                  <wp:positionH relativeFrom="column">
                    <wp:posOffset>-635</wp:posOffset>
                  </wp:positionH>
                  <wp:positionV relativeFrom="paragraph">
                    <wp:posOffset>6350</wp:posOffset>
                  </wp:positionV>
                  <wp:extent cx="1490980" cy="905163"/>
                  <wp:effectExtent l="0" t="0" r="0" b="0"/>
                  <wp:wrapNone/>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8305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95112" cy="907672"/>
                          </a:xfrm>
                          <a:prstGeom prst="rect">
                            <a:avLst/>
                          </a:prstGeom>
                        </pic:spPr>
                      </pic:pic>
                    </a:graphicData>
                  </a:graphic>
                  <wp14:sizeRelH relativeFrom="page">
                    <wp14:pctWidth>0</wp14:pctWidth>
                  </wp14:sizeRelH>
                  <wp14:sizeRelV relativeFrom="page">
                    <wp14:pctHeight>0</wp14:pctHeight>
                  </wp14:sizeRelV>
                </wp:anchor>
              </w:drawing>
            </w:r>
          </w:p>
        </w:tc>
      </w:tr>
      <w:bookmarkEnd w:id="1"/>
    </w:tbl>
    <w:p w14:paraId="49CB8D93" w14:textId="6FB65F87" w:rsidR="002B2CDB" w:rsidRDefault="002B2CDB" w:rsidP="008A308C">
      <w:pPr>
        <w:pStyle w:val="NormalWeb"/>
        <w:rPr>
          <w:b/>
          <w:bCs/>
          <w:sz w:val="20"/>
          <w:szCs w:val="20"/>
          <w:lang w:val="en-US"/>
        </w:rPr>
        <w:sectPr w:rsidR="002B2CDB" w:rsidSect="002B2CDB">
          <w:type w:val="continuous"/>
          <w:pgSz w:w="12240" w:h="18720" w:code="14"/>
          <w:pgMar w:top="1134" w:right="1134" w:bottom="1134" w:left="1134" w:header="902" w:footer="113" w:gutter="0"/>
          <w:pgNumType w:start="0"/>
          <w:cols w:space="708"/>
          <w:docGrid w:linePitch="360"/>
        </w:sectPr>
      </w:pPr>
    </w:p>
    <w:p>
      <w:pPr>
        <w:pStyle w:val="NormalWeb"/>
        <w:keepNext/>
        <w:spacing w:after="100" w:line="240" w:lineRule="auto"/>
        <w:jc w:val="both"/>
        <w:rPr>
          <w:b/>
          <w:bCs/>
          <w:lang w:val="en-US"/>
        </w:rPr>
      </w:pPr>
      <w:r>
        <w:rPr>
          <w:rFonts w:ascii="Times New Roman" w:hAnsi="Times New Roman" w:eastAsia="Times New Roman"/>
          <w:b/>
          <w:bCs/>
          <w:i w:val="0"/>
          <w:sz w:val="24"/>
          <w:lang w:val="en-US"/>
        </w:rPr>
        <w:t>Abstract</w:t>
      </w:r>
    </w:p>
    <w:p>
      <w:pPr>
        <w:pStyle w:val="NormalWeb"/>
        <w:keepNext w:val="0"/>
        <w:spacing w:after="100" w:line="240" w:lineRule="auto"/>
        <w:jc w:val="both"/>
        <w:rPr>
          <w:lang w:val="en-US"/>
        </w:rPr>
      </w:pPr>
      <w:r>
        <w:rPr>
          <w:rFonts w:ascii="Times New Roman" w:hAnsi="Times New Roman" w:eastAsia="Times New Roman"/>
          <w:b w:val="0"/>
          <w:i w:val="0"/>
          <w:sz w:val="23"/>
          <w:lang w:val="en-US"/>
        </w:rPr>
        <w:t>Machine learning (ML) is increasingly used for population-level diabetes risk prediction, often under the premise that it substantially outperforms classical statistical models. This study rigorously evaluates the incremental benefit of different ML algorithms over logistic regression in a pre-laboratory screening setting free from diagnostic information leakage. We used the CDC Diabetes Health Indicators dataset (BRFSS 2015; n = 253,680; prevalence 13.9%), which contains only self-reported survey indicators. Nine estimators were evaluated under a uniform protocol with a stratified 60/20/20 split, randomized hyperparameter search, preprocessing fitted only within training folds, and ROC-AUC assessment on a held-out test set. Uncertainty was estimated with 1,000 bootstrap resamples. Calibration, risk stratification, and interpretability were also examined. Histogram gradient boosting and XGBoost achieved the best discrimination (ROC-AUC = 0.827; 95% CI: 0.822-0.832), compared with 0.820 (0.815-0.824) for L2-regularized logistic regression. The paired difference was small (ΔAUC = 0.007; bootstrap 95% CI: 0.006-0.009), statistically detectable because of the large sample but of limited practical importance. The leading boosting models were mutually indistinguishable, and all nine estimators converged near ROC-AUC 0.83, indicating a performance plateau imposed by the available information. Accuracy (0.866) was minimally informative relative to the majority-class baseline (0.861). Isotonic calibration achieved an expected calibration error of 0.0029, and four risk levels separated observed prevalence from 2.9% to 48.0% (odds ratio 30.7; 95% CI: 28.0-33.6). Algorithm selection therefore provides only marginal gains when the variables constrain predictive information. Leakage control, calibration, interpretability, and reproducibility are more important than maximizing small AUC differences. These models may support population screening and triage, but they do not replace clinical diagnosis.</w:t>
      </w:r>
    </w:p>
    <w:p>
      <w:pPr>
        <w:keepNext/>
        <w:spacing w:after="20"/>
        <w:jc w:val="center"/>
      </w:pPr>
      <w:r>
        <w:drawing>
          <wp:inline xmlns:a="http://schemas.openxmlformats.org/drawingml/2006/main" xmlns:pic="http://schemas.openxmlformats.org/drawingml/2006/picture">
            <wp:extent cx="2852928" cy="3400948"/>
            <wp:docPr id="2115247367" name="Picture 2115247367" descr="Graphical abstract. Study objective, leakage-aware methodology, and clinical contribution." title="Graphical abstract"/>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852928" cy="3400948"/>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Graphical abstract. Study objective, leakage-aware methodology, and clinical contribution.</w:t>
      </w:r>
    </w:p>
    <w:p>
      <w:pPr>
        <w:pStyle w:val="NormalWeb"/>
        <w:keepNext/>
        <w:spacing w:after="100" w:line="240" w:lineRule="auto"/>
        <w:jc w:val="both"/>
        <w:rPr>
          <w:b/>
          <w:bCs/>
          <w:lang w:val="en-US"/>
        </w:rPr>
      </w:pPr>
      <w:r>
        <w:rPr>
          <w:rFonts w:ascii="Times New Roman" w:hAnsi="Times New Roman" w:eastAsia="Times New Roman"/>
          <w:b/>
          <w:bCs/>
          <w:i w:val="0"/>
          <w:sz w:val="24"/>
          <w:lang w:val="en-US"/>
        </w:rPr>
        <w:t>Keywords</w:t>
      </w:r>
    </w:p>
    <w:p>
      <w:pPr>
        <w:pStyle w:val="NormalWeb"/>
        <w:keepNext w:val="0"/>
        <w:spacing w:after="100" w:line="240" w:lineRule="auto"/>
        <w:jc w:val="both"/>
        <w:rPr>
          <w:lang w:val="en-US"/>
        </w:rPr>
      </w:pPr>
      <w:r>
        <w:rPr>
          <w:rFonts w:ascii="Times New Roman" w:hAnsi="Times New Roman" w:eastAsia="Times New Roman"/>
          <w:b w:val="0"/>
          <w:i w:val="0"/>
          <w:sz w:val="23"/>
          <w:lang w:val="en-US"/>
        </w:rPr>
        <w:t>Diabetes risk prediction; machine learning; BRFSS; calibration; explainable artificial intelligence; information leakage; reproducibility.</w:t>
      </w:r>
    </w:p>
    <w:p>
      <w:pPr>
        <w:pStyle w:val="NormalWeb"/>
        <w:keepNext/>
        <w:spacing w:after="100" w:line="240" w:lineRule="auto"/>
        <w:jc w:val="both"/>
        <w:rPr>
          <w:b/>
          <w:bCs/>
          <w:lang w:val="en-US"/>
        </w:rPr>
      </w:pPr>
      <w:r>
        <w:rPr>
          <w:rFonts w:ascii="Times New Roman" w:hAnsi="Times New Roman" w:eastAsia="Times New Roman"/>
          <w:b/>
          <w:bCs/>
          <w:i w:val="0"/>
          <w:sz w:val="24"/>
          <w:lang w:val="en-US"/>
        </w:rPr>
        <w:t>Resumen</w:t>
      </w:r>
    </w:p>
    <w:p>
      <w:pPr>
        <w:pStyle w:val="NormalWeb"/>
        <w:keepNext w:val="0"/>
        <w:spacing w:after="100" w:line="240" w:lineRule="auto"/>
        <w:jc w:val="both"/>
        <w:rPr>
          <w:lang w:val="en-US"/>
        </w:rPr>
      </w:pPr>
      <w:r>
        <w:rPr>
          <w:rFonts w:ascii="Times New Roman" w:hAnsi="Times New Roman" w:eastAsia="Times New Roman"/>
          <w:b w:val="0"/>
          <w:i w:val="0"/>
          <w:sz w:val="23"/>
          <w:lang w:val="en-US"/>
        </w:rPr>
        <w:t>El aprendizaje automático se utiliza cada vez más para predecir el riesgo poblacional de diabetes, con frecuencia bajo la premisa de que supera ampliamente a los modelos estadísticos clásicos. Este estudio evalúa rigurosamente el beneficio incremental de distintos algoritmos frente a la regresión logística en un escenario de cribado prelaboratorio libre de fuga de información diagnóstica. Se utilizó el conjunto Diabetes Health Indicators de los CDC (BRFSS 2015; n = 253,680; prevalencia 13.9%), compuesto únicamente por indicadores de encuesta autorreportados. Nueve estimadores fueron evaluados con una partición estratificada 60/20/20, búsqueda aleatorizada de hiperparámetros, preprocesamiento ajustado solo dentro de los pliegues de entrenamiento y evaluación ROC-AUC en una prueba retenida. La incertidumbre se estimó con 1,000 remuestreos bootstrap. Histogram gradient boosting y XGBoost alcanzaron ROC-AUC = 0.827 (IC 95%: 0.822-0.832), frente a 0.820 (0.815-0.824) de la regresión logística regularizada. La diferencia emparejada fue pequeña (ΔAUC = 0.007; IC bootstrap: 0.006-0.009) y de relevancia práctica limitada. Los nueve modelos convergieron cerca de ROC-AUC 0.83, lo que muestra una meseta impuesta por la información disponible. La calibración isotónica alcanzó ECE = 0.0029 y cuatro bandas de riesgo separaron la prevalencia observada de 2.9% a 48.0% (razón de momios 30.7; IC 95%: 28.0-33.6). Controlar la fuga, calibrar, interpretar y reproducir los modelos aporta más valor que maximizar diferencias pequeñas de AUC. El modelo apoya el cribado y el triaje, pero no sustituye el diagnóstico clínico.</w:t>
      </w:r>
    </w:p>
    <w:p>
      <w:pPr>
        <w:keepNext/>
        <w:spacing w:after="20"/>
        <w:jc w:val="center"/>
      </w:pPr>
      <w:r>
        <w:drawing>
          <wp:inline xmlns:a="http://schemas.openxmlformats.org/drawingml/2006/main" xmlns:pic="http://schemas.openxmlformats.org/drawingml/2006/picture">
            <wp:extent cx="2852928" cy="3396343"/>
            <wp:docPr id="2115247368" name="Picture 2115247368" descr="Resumen gráfico. Objetivo, metodología con control de fuga y contribución clínica." title="Resumen gráfico"/>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852928" cy="3396343"/>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Resumen gráfico. Objetivo, metodología con control de fuga y contribución clínica.</w:t>
      </w:r>
    </w:p>
    <w:p>
      <w:pPr>
        <w:pStyle w:val="NormalWeb"/>
        <w:keepNext/>
        <w:spacing w:after="100" w:line="240" w:lineRule="auto"/>
        <w:jc w:val="both"/>
        <w:rPr>
          <w:b/>
          <w:bCs/>
          <w:lang w:val="en-US"/>
        </w:rPr>
      </w:pPr>
      <w:r>
        <w:rPr>
          <w:rFonts w:ascii="Times New Roman" w:hAnsi="Times New Roman" w:eastAsia="Times New Roman"/>
          <w:b/>
          <w:bCs/>
          <w:i w:val="0"/>
          <w:sz w:val="24"/>
          <w:lang w:val="en-US"/>
        </w:rPr>
        <w:t>Palabras clave</w:t>
      </w:r>
    </w:p>
    <w:p>
      <w:pPr>
        <w:pStyle w:val="NormalWeb"/>
        <w:keepNext w:val="0"/>
        <w:spacing w:after="100" w:line="240" w:lineRule="auto"/>
        <w:jc w:val="both"/>
        <w:rPr>
          <w:lang w:val="en-US"/>
        </w:rPr>
      </w:pPr>
      <w:r>
        <w:rPr>
          <w:rFonts w:ascii="Times New Roman" w:hAnsi="Times New Roman" w:eastAsia="Times New Roman"/>
          <w:b w:val="0"/>
          <w:i w:val="0"/>
          <w:sz w:val="23"/>
          <w:lang w:val="en-US"/>
        </w:rPr>
        <w:t>Predicción de riesgo de diabetes; aprendizaje automático; BRFSS; calibración; inteligencia artificial explicable; fuga de información; reproducibilidad.</w:t>
      </w:r>
    </w:p>
    <w:p>
      <w:pPr>
        <w:pStyle w:val="NormalWeb"/>
        <w:keepNext/>
        <w:spacing w:after="100" w:line="240" w:lineRule="auto"/>
        <w:jc w:val="both"/>
        <w:rPr>
          <w:b/>
          <w:bCs/>
          <w:lang w:val="en-US"/>
        </w:rPr>
      </w:pPr>
      <w:r>
        <w:rPr>
          <w:rFonts w:ascii="Times New Roman" w:hAnsi="Times New Roman" w:eastAsia="Times New Roman"/>
          <w:b/>
          <w:bCs/>
          <w:i w:val="0"/>
          <w:sz w:val="24"/>
          <w:lang w:val="en-US"/>
        </w:rPr>
        <w:t>Introduction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Type 2 diabetes is one of the most prevalent chronic diseases worldwide, and identifying people at risk before complications appear is a public-health priority [1], [2]. Population health surveys provide low-cost information about demographic, behavioral, and cardiometabolic factors, while modern gradient-boosted trees and neural models offer flexible ways to exploit those variables. This combination has produced extensive literature reporting strong ML performance for diabetes prediction [3]-[6].</w:t>
      </w:r>
    </w:p>
    <w:p>
      <w:pPr>
        <w:pStyle w:val="NormalWeb"/>
        <w:keepNext w:val="0"/>
        <w:spacing w:after="100" w:line="240" w:lineRule="auto"/>
        <w:jc w:val="both"/>
        <w:rPr>
          <w:lang w:val="en-US"/>
        </w:rPr>
      </w:pPr>
      <w:r>
        <w:rPr>
          <w:rFonts w:ascii="Times New Roman" w:hAnsi="Times New Roman" w:eastAsia="Times New Roman"/>
          <w:b w:val="0"/>
          <w:i w:val="0"/>
          <w:sz w:val="23"/>
          <w:lang w:val="en-US"/>
        </w:rPr>
        <w:t>A recurring claim is that nonlinear algorithms substantially outperform logistic regression. Yet a systematic review of clinical prediction studies found no consistent ML advantage when comparisons were conducted fairly [7]. Reported improvements may instead reflect richer variables, optimistic validation, information leakage, or weak baselines. In high-stakes settings, a small gain in discrimination cannot compensate for poor calibration, opaque behavior, or invalid data provenance.</w:t>
      </w:r>
    </w:p>
    <w:p>
      <w:pPr>
        <w:pStyle w:val="NormalWeb"/>
        <w:keepNext w:val="0"/>
        <w:spacing w:after="100" w:line="240" w:lineRule="auto"/>
        <w:jc w:val="both"/>
        <w:rPr>
          <w:lang w:val="en-US"/>
        </w:rPr>
      </w:pPr>
      <w:r>
        <w:rPr>
          <w:rFonts w:ascii="Times New Roman" w:hAnsi="Times New Roman" w:eastAsia="Times New Roman"/>
          <w:b w:val="0"/>
          <w:i w:val="0"/>
          <w:sz w:val="23"/>
          <w:lang w:val="en-US"/>
        </w:rPr>
        <w:t>We ask how much modern ML actually improves diabetes prediction when the inputs are ordinary, self-reported population health indicators. Four hypotheses guide the analysis: (H1) complex models will not materially outperform a well-regularized linear baseline; (H2) the available variables impose an observable performance plateau; (H3) calibration and interpretability offer greater clinical value than small gains in ROC-AUC; and (H4) explicit control of information leakage changes the honest interpretation of diabetes models.</w:t>
      </w:r>
    </w:p>
    <w:p>
      <w:pPr>
        <w:pStyle w:val="NormalWeb"/>
        <w:keepNext w:val="0"/>
        <w:spacing w:after="100" w:line="240" w:lineRule="auto"/>
        <w:jc w:val="both"/>
        <w:rPr>
          <w:lang w:val="en-US"/>
        </w:rPr>
      </w:pPr>
      <w:r>
        <w:rPr>
          <w:rFonts w:ascii="Times New Roman" w:hAnsi="Times New Roman" w:eastAsia="Times New Roman"/>
          <w:b w:val="0"/>
          <w:i w:val="0"/>
          <w:sz w:val="23"/>
          <w:lang w:val="en-US"/>
        </w:rPr>
        <w:t>BRFSS contains no diagnostic laboratory measurements such as HbA1c or fasting glucose. It therefore represents genuine pre-laboratory screening and avoids the common error of using diagnostic criteria as predictors [8], [9]. The contribution is a uniform benchmark of nine estimators, uncertainty quantified with paired bootstrap resampling, probability calibration, clinically interpretable risk bands, and a reproducible artifact trail. The goal is screening support, not automated diagnosis.</w:t>
      </w:r>
    </w:p>
    <w:p>
      <w:pPr>
        <w:pStyle w:val="NormalWeb"/>
        <w:keepNext/>
        <w:spacing w:after="100" w:line="240" w:lineRule="auto"/>
        <w:jc w:val="both"/>
        <w:rPr>
          <w:b/>
          <w:bCs/>
          <w:lang w:val="en-US"/>
        </w:rPr>
      </w:pPr>
      <w:r>
        <w:rPr>
          <w:rFonts w:ascii="Times New Roman" w:hAnsi="Times New Roman" w:eastAsia="Times New Roman"/>
          <w:b/>
          <w:bCs/>
          <w:i w:val="0"/>
          <w:sz w:val="24"/>
          <w:lang w:val="en-US"/>
        </w:rPr>
        <w:t>Related Work</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 Survey-based diabetes prediction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Previous studies using BRFSS, NHANES, and questionnaire-derived datasets generally report ROC-AUC values in the low-to-mid 0.80 range [3]-[6]. Neural networks and ensembles sometimes lead point estimates, but their gains over simpler models are often modest. These studies establish that population indicators contain useful signal while also suggesting that discrimination is limited when no laboratory variables are available.</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B. Machine learning versus regression</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comparative literature cautions against treating algorithmic complexity as evidence of clinical benefit. Christodoulou et al. found no systematic performance advantage of ML over logistic regression [7], while Steyerberg emphasizes validation, calibration, and transportability over discrimination alone [10]. A fair benchmark must therefore include a strong regularized linear baseline and paired uncertainty estimates.</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 Calibration, imbalance, and interpretability</w:t>
      </w:r>
    </w:p>
    <w:p>
      <w:pPr>
        <w:pStyle w:val="NormalWeb"/>
        <w:keepNext w:val="0"/>
        <w:spacing w:after="100" w:line="240" w:lineRule="auto"/>
        <w:jc w:val="both"/>
        <w:rPr>
          <w:lang w:val="en-US"/>
        </w:rPr>
      </w:pPr>
      <w:r>
        <w:rPr>
          <w:rFonts w:ascii="Times New Roman" w:hAnsi="Times New Roman" w:eastAsia="Times New Roman"/>
          <w:b w:val="0"/>
          <w:i w:val="0"/>
          <w:sz w:val="23"/>
          <w:lang w:val="en-US"/>
        </w:rPr>
        <w:t>Reliable probabilities are essential when predictions define triage thresholds [11]-[13]. Because diabetes prevalence is imbalanced, PR-AUC and MCC complement ROC-AUC and raw accuracy [20]-[22]. SHAP, permutation importance, and interpretable models can expose the factors driving risk [14]-[18], but post-hoc explanations should not be treated as causal or automatically trustworthy [19]. These concerns motivate the combined evaluation used here.</w:t>
      </w:r>
    </w:p>
    <w:p>
      <w:pPr>
        <w:pStyle w:val="NormalWeb"/>
        <w:keepNext/>
        <w:spacing w:after="100" w:line="240" w:lineRule="auto"/>
        <w:jc w:val="both"/>
        <w:rPr>
          <w:b/>
          <w:bCs/>
          <w:lang w:val="en-US"/>
        </w:rPr>
      </w:pPr>
      <w:r>
        <w:rPr>
          <w:rFonts w:ascii="Times New Roman" w:hAnsi="Times New Roman" w:eastAsia="Times New Roman"/>
          <w:b/>
          <w:bCs/>
          <w:i w:val="0"/>
          <w:sz w:val="24"/>
          <w:lang w:val="en-US"/>
        </w:rPr>
        <w:t>Dataset</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 Source and cohort</w:t>
      </w:r>
    </w:p>
    <w:p>
      <w:pPr>
        <w:pStyle w:val="NormalWeb"/>
        <w:keepNext w:val="0"/>
        <w:spacing w:after="100" w:line="240" w:lineRule="auto"/>
        <w:jc w:val="both"/>
        <w:rPr>
          <w:lang w:val="en-US"/>
        </w:rPr>
      </w:pPr>
      <w:r>
        <w:rPr>
          <w:rFonts w:ascii="Times New Roman" w:hAnsi="Times New Roman" w:eastAsia="Times New Roman"/>
          <w:b w:val="0"/>
          <w:i w:val="0"/>
          <w:sz w:val="23"/>
          <w:lang w:val="en-US"/>
        </w:rPr>
        <w:t>We used the public Diabetes Health Indicators dataset derived from the 2015 Behavioral Risk Factor Surveillance System [23], [24]. The binary file contains 253,680 respondents, 21 predictors, and the target Diabetes_binary. The positive prevalence is 13.9%, yielding a negative-to-positive ratio of 6.18:1. The dataset has no missing values. Exact duplicate response vectors were retained because categorical survey profiles can legitimately recur across different respondents; removing them without survey identifiers would alter prevalence and population structure.</w:t>
      </w:r>
    </w:p>
    <w:p>
      <w:pPr>
        <w:keepNext/>
        <w:spacing w:after="6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Table I. Principal characteristics of the BRFSS 2015 binary cohort.</w:t>
      </w:r>
    </w:p>
    <w:tbl>
      <w:tblPr>
        <w:tblStyle w:val="TableNormal"/>
        <w:tblW w:type="dxa" w:w="4500"/>
        <w:jc w:val="left"/>
        <w:tblLayout w:type="fixed"/>
        <w:tblLook w:firstColumn="1" w:firstRow="1" w:lastColumn="0" w:lastRow="0" w:noHBand="0" w:noVBand="1" w:val="04A0"/>
        <w:tblInd w:type="dxa" w:w="120"/>
      </w:tblPr>
      <w:tblGrid>
        <w:gridCol w:w="2700"/>
        <w:gridCol w:w="1800"/>
      </w:tblGrid>
      <w:tr>
        <w:trPr>
          <w:tblHeader w:val="true"/>
        </w:trPr>
        <w:tc>
          <w:tcPr>
            <w:tcW w:type="dxa" w:w="27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6"/>
              </w:rPr>
              <w:t>Property</w:t>
            </w:r>
          </w:p>
        </w:tc>
        <w:tc>
          <w:tcPr>
            <w:tcW w:type="dxa" w:w="18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6"/>
              </w:rPr>
              <w:t>Value</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Respondents</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253,680</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Predictors</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21</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Target</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Diabetes_binary</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Positive prevalence</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13.9%</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Imbalance ratio</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6.18:1</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Missing values</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0</w:t>
            </w:r>
          </w:p>
        </w:tc>
      </w:tr>
      <w:tr>
        <w:trPr>
          <w:cantSplit/>
        </w:trPr>
        <w:tc>
          <w:tcPr>
            <w:tcW w:type="dxa" w:w="27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Exact duplicate rows</w:t>
            </w:r>
          </w:p>
        </w:tc>
        <w:tc>
          <w:tcPr>
            <w:tcW w:type="dxa" w:w="18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24,206 (9.5%), retained</w:t>
            </w:r>
          </w:p>
        </w:tc>
      </w:tr>
      <w:tr>
        <w:trPr>
          <w:cantSplit/>
        </w:trPr>
        <w:tc>
          <w:tcPr>
            <w:tcW w:type="dxa" w:w="2700"/>
            <w:vAlign w:val="center"/>
            <w:tcBorders>
              <w:bottom w:val="single" w:color="111111" w:sz="8" w:space="0"/>
            </w:tcBorders>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6"/>
              </w:rPr>
              <w:t>Diagnostic laboratory variables</w:t>
            </w:r>
          </w:p>
        </w:tc>
        <w:tc>
          <w:tcPr>
            <w:tcW w:type="dxa" w:w="18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6"/>
              </w:rPr>
              <w:t>None</w:t>
            </w:r>
          </w:p>
        </w:tc>
      </w:tr>
    </w:tbl>
    <w:p>
      <w:pPr>
        <w:spacing w:after="40"/>
      </w:pP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B. Predictors and signal</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variables span cardiometabolic status (high blood pressure, high cholesterol, body-mass index, stroke, and heart disease), behavior (smoking, physical activity, fruit and vegetable intake, heavy alcohol use), functional health (general health, mental and physical health days, difficulty walking), access and socioeconomic conditions (healthcare access, cost barriers, education, and income), and demographics (sex and age). The strongest univariate associations are general health, hypertension, difficulty walking, BMI, high cholesterol, and age, but no single survey item provides diagnostic-level separation.</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 Bias and measurement constraints</w:t>
      </w:r>
    </w:p>
    <w:p>
      <w:pPr>
        <w:pStyle w:val="NormalWeb"/>
        <w:keepNext w:val="0"/>
        <w:spacing w:after="100" w:line="240" w:lineRule="auto"/>
        <w:jc w:val="both"/>
        <w:rPr>
          <w:lang w:val="en-US"/>
        </w:rPr>
      </w:pPr>
      <w:r>
        <w:rPr>
          <w:rFonts w:ascii="Times New Roman" w:hAnsi="Times New Roman" w:eastAsia="Times New Roman"/>
          <w:b w:val="0"/>
          <w:i w:val="0"/>
          <w:sz w:val="23"/>
          <w:lang w:val="en-US"/>
        </w:rPr>
        <w:t>BRFSS is cross-sectional and self-reported. It is vulnerable to recall, social-desirability, nonresponse, and telephone-coverage bias. The outcome represents previously diagnosed diabetes rather than biochemical confirmation, so undiagnosed cases may be labeled negative. Variables are coarsely quantized, and the unweighted public extract may not reproduce nationally representative estimates. These characteristics bound attainable performance and require cautious interpretation.</w:t>
      </w:r>
    </w:p>
    <w:p>
      <w:pPr>
        <w:pStyle w:val="NormalWeb"/>
        <w:keepNext/>
        <w:spacing w:after="100" w:line="240" w:lineRule="auto"/>
        <w:jc w:val="both"/>
        <w:rPr>
          <w:b/>
          <w:bCs/>
          <w:lang w:val="en-US"/>
        </w:rPr>
      </w:pPr>
      <w:r>
        <w:rPr>
          <w:rFonts w:ascii="Times New Roman" w:hAnsi="Times New Roman" w:eastAsia="Times New Roman"/>
          <w:b/>
          <w:bCs/>
          <w:i w:val="0"/>
          <w:sz w:val="24"/>
          <w:lang w:val="en-US"/>
        </w:rPr>
        <w:t>Methodology</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 Protocol and leakage control</w:t>
      </w:r>
    </w:p>
    <w:p>
      <w:pPr>
        <w:pStyle w:val="NormalWeb"/>
        <w:keepNext w:val="0"/>
        <w:spacing w:after="100" w:line="240" w:lineRule="auto"/>
        <w:jc w:val="both"/>
        <w:rPr>
          <w:lang w:val="en-US"/>
        </w:rPr>
      </w:pPr>
      <w:r>
        <w:rPr>
          <w:rFonts w:ascii="Times New Roman" w:hAnsi="Times New Roman" w:eastAsia="Times New Roman"/>
          <w:b w:val="0"/>
          <w:i w:val="0"/>
          <w:sz w:val="23"/>
          <w:lang w:val="en-US"/>
        </w:rPr>
        <w:t>All models followed one protocol. Data were divided using a stratified 60% training, 20% validation, and 20% test split, preserving prevalence and reserving 50,736 respondents for final evaluation. Numerical and ordinal features were standardized where required, binary features passed through unchanged, and all preprocessing transformers were fitted only within training folds. The test set was not used for hyperparameter selection, calibration fitting, or threshold design.</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B. Models and tuning</w:t>
      </w:r>
    </w:p>
    <w:p>
      <w:pPr>
        <w:pStyle w:val="NormalWeb"/>
        <w:keepNext w:val="0"/>
        <w:spacing w:after="100" w:line="240" w:lineRule="auto"/>
        <w:jc w:val="both"/>
        <w:rPr>
          <w:lang w:val="en-US"/>
        </w:rPr>
      </w:pPr>
      <w:r>
        <w:rPr>
          <w:rFonts w:ascii="Times New Roman" w:hAnsi="Times New Roman" w:eastAsia="Times New Roman"/>
          <w:b w:val="0"/>
          <w:i w:val="0"/>
          <w:sz w:val="23"/>
          <w:lang w:val="en-US"/>
        </w:rPr>
        <w:t>Nine estimators covered linear, instance-based, kernel, tree, boosting, and neural families: logistic regression [25], random forest [26], extra trees, histogram gradient boosting [27], XGBoost [28], LightGBM [29], multilayer perceptron, k-nearest neighbors [30], and support-vector machine [31]. Randomized hyperparameter search used three-fold stratified cross-validation on the training partition with ROC-AUC as the objective. KNN and SVM were tuned on stratified subsamples for computational tractability and then evaluated on the complete test set.</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 Metrics and statistical comparison</w:t>
      </w:r>
    </w:p>
    <w:p>
      <w:pPr>
        <w:pStyle w:val="NormalWeb"/>
        <w:keepNext w:val="0"/>
        <w:spacing w:after="100" w:line="240" w:lineRule="auto"/>
        <w:jc w:val="both"/>
        <w:rPr>
          <w:lang w:val="en-US"/>
        </w:rPr>
      </w:pPr>
      <w:r>
        <w:rPr>
          <w:rFonts w:ascii="Times New Roman" w:hAnsi="Times New Roman" w:eastAsia="Times New Roman"/>
          <w:b w:val="0"/>
          <w:i w:val="0"/>
          <w:sz w:val="23"/>
          <w:lang w:val="en-US"/>
        </w:rPr>
        <w:t>Models were ranked by held-out ROC-AUC. We also report PR-AUC, MCC, balanced accuracy, F1, precision, sensitivity, specificity, accuracy, and Brier score. For each model, a 95% confidence interval for test ROC-AUC was estimated with 1,000 bootstrap resamples. Pairwise AUC differences used the same resampled indices for both models, preserving prediction pairing [32]. Practical relevance was judged by effect magnitude rather than statistical significance alone.</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D. Calibration, risk bands, and explanation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selected model was assessed in its original form and after Platt and isotonic calibration. Brier score and expected calibration error (ECE, ten bins) quantified probabilistic quality. Four threshold strategies were compared, including population percentiles, quartiles, sensitivity-oriented ROC thresholds, and cost-sensitive Bayesian thresholds. The final 0.09/0.20/0.40 cut points were selected on validation data and then evaluated once on the untouched test set. SHAP and permutation importance characterized global signal without assigning causal meaning.</w:t>
      </w:r>
    </w:p>
    <w:p>
      <w:pPr>
        <w:pStyle w:val="NormalWeb"/>
        <w:keepNext/>
        <w:spacing w:after="100" w:line="240" w:lineRule="auto"/>
        <w:jc w:val="both"/>
        <w:rPr>
          <w:b/>
          <w:bCs/>
          <w:lang w:val="en-US"/>
        </w:rPr>
      </w:pPr>
      <w:r>
        <w:rPr>
          <w:rFonts w:ascii="Times New Roman" w:hAnsi="Times New Roman" w:eastAsia="Times New Roman"/>
          <w:b/>
          <w:bCs/>
          <w:i w:val="0"/>
          <w:sz w:val="24"/>
          <w:lang w:val="en-US"/>
        </w:rPr>
        <w:t>Results</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 Model comparison</w:t>
      </w:r>
    </w:p>
    <w:p>
      <w:pPr>
        <w:pStyle w:val="NormalWeb"/>
        <w:keepNext w:val="0"/>
        <w:spacing w:after="100" w:line="240" w:lineRule="auto"/>
        <w:jc w:val="both"/>
        <w:rPr>
          <w:lang w:val="en-US"/>
        </w:rPr>
      </w:pPr>
      <w:r>
        <w:rPr>
          <w:rFonts w:ascii="Times New Roman" w:hAnsi="Times New Roman" w:eastAsia="Times New Roman"/>
          <w:b w:val="0"/>
          <w:i w:val="0"/>
          <w:sz w:val="23"/>
          <w:lang w:val="en-US"/>
        </w:rPr>
        <w:t>Histogram gradient boosting and XGBoost tied for the highest test discrimination (ROC-AUC 0.8268), followed closely by LightGBM (0.8265), random forest (0.8237), and MLP (0.8232). Regularized logistic regression reached 0.8197, only 0.007 below the leaders. KNN achieved 0.7947 and SVM 0.6834. The best PR-AUC was 0.4237, about three times the random baseline equal to prevalence (0.139), showing useful but still modest absolute signal.</w:t>
      </w:r>
    </w:p>
    <w:p>
      <w:pPr>
        <w:keepNext/>
        <w:spacing w:after="20"/>
        <w:jc w:val="center"/>
      </w:pPr>
      <w:r>
        <w:drawing>
          <wp:inline xmlns:a="http://schemas.openxmlformats.org/drawingml/2006/main" xmlns:pic="http://schemas.openxmlformats.org/drawingml/2006/picture">
            <wp:extent cx="2788920" cy="1796254"/>
            <wp:docPr id="2115247369" name="Picture 2115247369" descr="Figure 1. Held-out ROC-AUC for the nine estimators. Values come from the untouched test partition." title="Figure 1"/>
            <wp:cNvGraphicFramePr>
              <a:graphicFrameLocks noChangeAspect="1"/>
            </wp:cNvGraphicFramePr>
            <a:graphic>
              <a:graphicData uri="http://schemas.openxmlformats.org/drawingml/2006/picture">
                <pic:pic>
                  <pic:nvPicPr>
                    <pic:cNvPr id="0" name="figure_auc.png"/>
                    <pic:cNvPicPr/>
                  </pic:nvPicPr>
                  <pic:blipFill>
                    <a:blip r:embed="rId53"/>
                    <a:stretch>
                      <a:fillRect/>
                    </a:stretch>
                  </pic:blipFill>
                  <pic:spPr>
                    <a:xfrm>
                      <a:off x="0" y="0"/>
                      <a:ext cx="2788920" cy="1796254"/>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1. Held-out ROC-AUC for the nine estimators. Values come from the untouched test partition.</w:t>
      </w:r>
    </w:p>
    <w:p>
      <w:pPr>
        <w:keepNext/>
        <w:spacing w:after="6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Table II. Held-out test performance ranked by ROC-AUC; CI values use 1,000 bootstrap resamples.</w:t>
      </w:r>
    </w:p>
    <w:tbl>
      <w:tblPr>
        <w:tblStyle w:val="TableNormal"/>
        <w:tblW w:type="dxa" w:w="4500"/>
        <w:jc w:val="left"/>
        <w:tblLayout w:type="fixed"/>
        <w:tblLook w:firstColumn="1" w:firstRow="1" w:lastColumn="0" w:lastRow="0" w:noHBand="0" w:noVBand="1" w:val="04A0"/>
        <w:tblInd w:type="dxa" w:w="120"/>
      </w:tblPr>
      <w:tblGrid>
        <w:gridCol w:w="1050"/>
        <w:gridCol w:w="600"/>
        <w:gridCol w:w="1000"/>
        <w:gridCol w:w="600"/>
        <w:gridCol w:w="600"/>
        <w:gridCol w:w="650"/>
      </w:tblGrid>
      <w:tr>
        <w:trPr>
          <w:tblHeader w:val="true"/>
        </w:trPr>
        <w:tc>
          <w:tcPr>
            <w:tcW w:type="dxa" w:w="10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Model</w:t>
            </w:r>
          </w:p>
        </w:tc>
        <w:tc>
          <w:tcPr>
            <w:tcW w:type="dxa" w:w="6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ROC-AUC</w:t>
            </w:r>
          </w:p>
        </w:tc>
        <w:tc>
          <w:tcPr>
            <w:tcW w:type="dxa" w:w="10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95% CI</w:t>
            </w:r>
          </w:p>
        </w:tc>
        <w:tc>
          <w:tcPr>
            <w:tcW w:type="dxa" w:w="6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PR-AUC</w:t>
            </w:r>
          </w:p>
        </w:tc>
        <w:tc>
          <w:tcPr>
            <w:tcW w:type="dxa" w:w="6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MCC</w:t>
            </w:r>
          </w:p>
        </w:tc>
        <w:tc>
          <w:tcPr>
            <w:tcW w:type="dxa" w:w="6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3"/>
              </w:rPr>
              <w:t>Brier</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Hist. Gradient Boost.</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0.827</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0.822-0.832</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0.423</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0.246</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0.097</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XGBoost</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0.827</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0.822-0.831</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0.423</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0.236</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0.097</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LightGBM</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0.827</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0.822-0.831</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0.424</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0.247</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0.097</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Random Forest</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0.824</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0.819-0.829</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0.418</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0.213</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0.098</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MLP</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0.823</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0.819-0.828</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0.412</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0.224</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0.098</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Logistic Regression</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0.820</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0.815-0.824</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0.393</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0.356</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0.177</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Extra Trees</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0.819</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0.814-0.824</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0.409</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0.186</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0.099</w:t>
            </w:r>
          </w:p>
        </w:tc>
      </w:tr>
      <w:tr>
        <w:trPr>
          <w:cantSplit/>
        </w:trPr>
        <w:tc>
          <w:tcPr>
            <w:tcW w:type="dxa" w:w="10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KNN</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0.795</w:t>
            </w:r>
          </w:p>
        </w:tc>
        <w:tc>
          <w:tcPr>
            <w:tcW w:type="dxa" w:w="10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0.790-0.800</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0.359</w:t>
            </w:r>
          </w:p>
        </w:tc>
        <w:tc>
          <w:tcPr>
            <w:tcW w:type="dxa" w:w="6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0.149</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0.102</w:t>
            </w:r>
          </w:p>
        </w:tc>
      </w:tr>
      <w:tr>
        <w:trPr>
          <w:cantSplit/>
        </w:trPr>
        <w:tc>
          <w:tcPr>
            <w:tcW w:type="dxa" w:w="1050"/>
            <w:vAlign w:val="center"/>
            <w:tcBorders>
              <w:bottom w:val="single" w:color="111111" w:sz="8" w:space="0"/>
            </w:tcBorders>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3"/>
              </w:rPr>
              <w:t>SVM</w:t>
            </w:r>
          </w:p>
        </w:tc>
        <w:tc>
          <w:tcPr>
            <w:tcW w:type="dxa" w:w="6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0.683</w:t>
            </w:r>
          </w:p>
        </w:tc>
        <w:tc>
          <w:tcPr>
            <w:tcW w:type="dxa" w:w="10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0.675-0.691</w:t>
            </w:r>
          </w:p>
        </w:tc>
        <w:tc>
          <w:tcPr>
            <w:tcW w:type="dxa" w:w="6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0.322</w:t>
            </w:r>
          </w:p>
        </w:tc>
        <w:tc>
          <w:tcPr>
            <w:tcW w:type="dxa" w:w="6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0.123</w:t>
            </w:r>
          </w:p>
        </w:tc>
        <w:tc>
          <w:tcPr>
            <w:tcW w:type="dxa" w:w="65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3"/>
              </w:rPr>
              <w:t>0.114</w:t>
            </w:r>
          </w:p>
        </w:tc>
      </w:tr>
    </w:tbl>
    <w:p>
      <w:pPr>
        <w:spacing w:after="40"/>
      </w:pPr>
    </w:p>
    <w:p>
      <w:pPr>
        <w:pStyle w:val="NormalWeb"/>
        <w:keepNext w:val="0"/>
        <w:spacing w:after="100" w:line="240" w:lineRule="auto"/>
        <w:jc w:val="both"/>
        <w:rPr>
          <w:lang w:val="en-US"/>
        </w:rPr>
      </w:pPr>
      <w:r>
        <w:rPr>
          <w:rFonts w:ascii="Times New Roman" w:hAnsi="Times New Roman" w:eastAsia="Times New Roman"/>
          <w:b w:val="0"/>
          <w:i w:val="0"/>
          <w:sz w:val="23"/>
          <w:lang w:val="en-US"/>
        </w:rPr>
        <w:t>The paired difference between the best model and logistic regression was ΔAUC = 0.007 (bootstrap 95% CI: 0.006-0.009). The interval excludes zero because the test set is large, but a seven-thousandth AUC gain is unlikely to change clinical decisions by itself. The leading boosting models were mutually indistinguishable. This supports H1 in its clinically relevant form: there is a statistically detectable difference, but it is too small to justify complexity on discrimination alone.</w:t>
      </w:r>
    </w:p>
    <w:p>
      <w:pPr>
        <w:pStyle w:val="NormalWeb"/>
        <w:keepNext w:val="0"/>
        <w:spacing w:after="100" w:line="240" w:lineRule="auto"/>
        <w:jc w:val="both"/>
        <w:rPr>
          <w:lang w:val="en-US"/>
        </w:rPr>
      </w:pPr>
      <w:r>
        <w:rPr>
          <w:rFonts w:ascii="Times New Roman" w:hAnsi="Times New Roman" w:eastAsia="Times New Roman"/>
          <w:b w:val="0"/>
          <w:i w:val="0"/>
          <w:sz w:val="23"/>
          <w:lang w:val="en-US"/>
        </w:rPr>
        <w:t>Raw accuracy was especially misleading. Tree-based models reported approximately 0.866 accuracy, barely above the majority-class baseline of 0.861, while detecting only 4%-16% of positive cases at a 0.5 cutoff. Class-weighted logistic regression achieved the highest MCC (0.356), balanced accuracy (0.744), F1 (0.441), and sensitivity (0.760). Threshold choice and calibration therefore matter more than the default classifier label.</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B. Probability calibration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original boosted model was already well calibrated (test ECE 0.0044; Brier 0.0974). Isotonic calibration reduced ECE to 0.0029 while retaining a comparable Brier score of 0.0975. Platt scaling degraded calibration in this large sample (ECE 0.0285). Isotonic probabilities were therefore used for risk stratification.</w:t>
      </w:r>
    </w:p>
    <w:p>
      <w:pPr>
        <w:keepNext/>
        <w:spacing w:after="6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Table III. Calibration of the selected XGBoost model. Lower values are better.</w:t>
      </w:r>
    </w:p>
    <w:tbl>
      <w:tblPr>
        <w:tblStyle w:val="TableNormal"/>
        <w:tblW w:type="dxa" w:w="4500"/>
        <w:jc w:val="left"/>
        <w:tblLayout w:type="fixed"/>
        <w:tblLook w:firstColumn="1" w:firstRow="1" w:lastColumn="0" w:lastRow="0" w:noHBand="0" w:noVBand="1" w:val="04A0"/>
        <w:tblInd w:type="dxa" w:w="120"/>
      </w:tblPr>
      <w:tblGrid>
        <w:gridCol w:w="900"/>
        <w:gridCol w:w="900"/>
        <w:gridCol w:w="900"/>
        <w:gridCol w:w="900"/>
        <w:gridCol w:w="900"/>
      </w:tblGrid>
      <w:tr>
        <w:trPr>
          <w:tblHeader w:val="true"/>
        </w:trPr>
        <w:tc>
          <w:tcPr>
            <w:tcW w:type="dxa" w:w="9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Variant</w:t>
            </w:r>
          </w:p>
        </w:tc>
        <w:tc>
          <w:tcPr>
            <w:tcW w:type="dxa" w:w="9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Brier val.</w:t>
            </w:r>
          </w:p>
        </w:tc>
        <w:tc>
          <w:tcPr>
            <w:tcW w:type="dxa" w:w="9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ECE val.</w:t>
            </w:r>
          </w:p>
        </w:tc>
        <w:tc>
          <w:tcPr>
            <w:tcW w:type="dxa" w:w="9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Brier test</w:t>
            </w:r>
          </w:p>
        </w:tc>
        <w:tc>
          <w:tcPr>
            <w:tcW w:type="dxa" w:w="9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ECE test</w:t>
            </w:r>
          </w:p>
        </w:tc>
      </w:tr>
      <w:tr>
        <w:trPr>
          <w:cantSplit/>
        </w:trPr>
        <w:tc>
          <w:tcPr>
            <w:tcW w:type="dxa" w:w="9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Original</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0.0968</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0.0040</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0.0974</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0.0044</w:t>
            </w:r>
          </w:p>
        </w:tc>
      </w:tr>
      <w:tr>
        <w:trPr>
          <w:cantSplit/>
        </w:trPr>
        <w:tc>
          <w:tcPr>
            <w:tcW w:type="dxa" w:w="90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Platt</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0.0985</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0.0257</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0.0995</w:t>
            </w:r>
          </w:p>
        </w:tc>
        <w:tc>
          <w:tcPr>
            <w:tcW w:type="dxa" w:w="9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0.0285</w:t>
            </w:r>
          </w:p>
        </w:tc>
      </w:tr>
      <w:tr>
        <w:trPr>
          <w:cantSplit/>
        </w:trPr>
        <w:tc>
          <w:tcPr>
            <w:tcW w:type="dxa" w:w="900"/>
            <w:vAlign w:val="center"/>
            <w:tcBorders>
              <w:bottom w:val="single" w:color="111111" w:sz="8" w:space="0"/>
            </w:tcBorders>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Isotonic</w:t>
            </w:r>
          </w:p>
        </w:tc>
        <w:tc>
          <w:tcPr>
            <w:tcW w:type="dxa" w:w="9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0.0965</w:t>
            </w:r>
          </w:p>
        </w:tc>
        <w:tc>
          <w:tcPr>
            <w:tcW w:type="dxa" w:w="9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0.0000</w:t>
            </w:r>
          </w:p>
        </w:tc>
        <w:tc>
          <w:tcPr>
            <w:tcW w:type="dxa" w:w="9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0.0975</w:t>
            </w:r>
          </w:p>
        </w:tc>
        <w:tc>
          <w:tcPr>
            <w:tcW w:type="dxa" w:w="9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0.0029</w:t>
            </w:r>
          </w:p>
        </w:tc>
      </w:tr>
    </w:tbl>
    <w:p>
      <w:pPr>
        <w:spacing w:after="40"/>
      </w:pPr>
    </w:p>
    <w:p>
      <w:pPr>
        <w:keepNext/>
        <w:spacing w:after="20"/>
        <w:jc w:val="center"/>
      </w:pPr>
      <w:r>
        <w:drawing>
          <wp:inline xmlns:a="http://schemas.openxmlformats.org/drawingml/2006/main" xmlns:pic="http://schemas.openxmlformats.org/drawingml/2006/picture">
            <wp:extent cx="2788920" cy="1701714"/>
            <wp:docPr id="2115247370" name="Picture 2115247370" descr="Figure 2. Held-out Brier score and expected calibration error before and after calibration." title="Figure 2"/>
            <wp:cNvGraphicFramePr>
              <a:graphicFrameLocks noChangeAspect="1"/>
            </wp:cNvGraphicFramePr>
            <a:graphic>
              <a:graphicData uri="http://schemas.openxmlformats.org/drawingml/2006/picture">
                <pic:pic>
                  <pic:nvPicPr>
                    <pic:cNvPr id="0" name="figure_calibration.png"/>
                    <pic:cNvPicPr/>
                  </pic:nvPicPr>
                  <pic:blipFill>
                    <a:blip r:embed="rId54"/>
                    <a:stretch>
                      <a:fillRect/>
                    </a:stretch>
                  </pic:blipFill>
                  <pic:spPr>
                    <a:xfrm>
                      <a:off x="0" y="0"/>
                      <a:ext cx="2788920" cy="1701714"/>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2. Held-out Brier score and expected calibration error before and after calibration.</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 Risk stratification and clinical validation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cost-sensitive thresholds produced the clearest monotonic separation (η² = 0.18). Test prevalence increased from 2.9% in the Low band to 14.2% in Moderate, 29.1% in High, and 48.0% in Very high. Relative to Low risk, the odds ratios were 5.5, 13.7, and 30.7 with narrow confidence intervals. This sixteen-fold prevalence gradient turns a modest discriminative model into a potentially useful triage instrument.</w:t>
      </w:r>
    </w:p>
    <w:p>
      <w:pPr>
        <w:keepNext/>
        <w:spacing w:after="6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Table IV. Clinical validation of calibrated risk bands in the held-out test set (n = 50,736).</w:t>
      </w:r>
    </w:p>
    <w:tbl>
      <w:tblPr>
        <w:tblStyle w:val="TableNormal"/>
        <w:tblW w:type="dxa" w:w="4500"/>
        <w:jc w:val="left"/>
        <w:tblLayout w:type="fixed"/>
        <w:tblLook w:firstColumn="1" w:firstRow="1" w:lastColumn="0" w:lastRow="0" w:noHBand="0" w:noVBand="1" w:val="04A0"/>
        <w:tblInd w:type="dxa" w:w="120"/>
      </w:tblPr>
      <w:tblGrid>
        <w:gridCol w:w="850"/>
        <w:gridCol w:w="650"/>
        <w:gridCol w:w="850"/>
        <w:gridCol w:w="1450"/>
        <w:gridCol w:w="700"/>
      </w:tblGrid>
      <w:tr>
        <w:trPr>
          <w:tblHeader w:val="true"/>
        </w:trPr>
        <w:tc>
          <w:tcPr>
            <w:tcW w:type="dxa" w:w="8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Band</w:t>
            </w:r>
          </w:p>
        </w:tc>
        <w:tc>
          <w:tcPr>
            <w:tcW w:type="dxa" w:w="6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n</w:t>
            </w:r>
          </w:p>
        </w:tc>
        <w:tc>
          <w:tcPr>
            <w:tcW w:type="dxa" w:w="8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Prev.</w:t>
            </w:r>
          </w:p>
        </w:tc>
        <w:tc>
          <w:tcPr>
            <w:tcW w:type="dxa" w:w="145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OR (95% CI)</w:t>
            </w:r>
          </w:p>
        </w:tc>
        <w:tc>
          <w:tcPr>
            <w:tcW w:type="dxa" w:w="700"/>
            <w:vAlign w:val="center"/>
            <w:tcBorders>
              <w:top w:val="single" w:color="111111" w:sz="8" w:space="0"/>
              <w:bottom w:val="single" w:color="111111" w:sz="8" w:space="0"/>
            </w:tcBorders>
            <w:tcMar>
              <w:top w:w="80" w:type="dxa"/>
              <w:bottom w:w="80" w:type="dxa"/>
              <w:start w:w="120" w:type="dxa"/>
              <w:end w:w="120" w:type="dxa"/>
            </w:tcMar>
          </w:tcPr>
          <w:p>
            <w:pPr>
              <w:spacing w:after="0"/>
              <w:jc w:val="center"/>
            </w:pPr>
            <w:r/>
            <w:r>
              <w:rPr>
                <w:rFonts w:ascii="Times New Roman" w:hAnsi="Times New Roman" w:eastAsia="Times New Roman"/>
                <w:b/>
                <w:i w:val="0"/>
                <w:sz w:val="14"/>
              </w:rPr>
              <w:t>RR</w:t>
            </w:r>
          </w:p>
        </w:tc>
      </w:tr>
      <w:tr>
        <w:trPr>
          <w:cantSplit/>
        </w:trPr>
        <w:tc>
          <w:tcPr>
            <w:tcW w:type="dxa" w:w="8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Low</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26,149</w:t>
            </w:r>
          </w:p>
        </w:tc>
        <w:tc>
          <w:tcPr>
            <w:tcW w:type="dxa" w:w="8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2.9%</w:t>
            </w:r>
          </w:p>
        </w:tc>
        <w:tc>
          <w:tcPr>
            <w:tcW w:type="dxa" w:w="14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1.0 (ref)</w:t>
            </w:r>
          </w:p>
        </w:tc>
        <w:tc>
          <w:tcPr>
            <w:tcW w:type="dxa" w:w="7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1.0</w:t>
            </w:r>
          </w:p>
        </w:tc>
      </w:tr>
      <w:tr>
        <w:trPr>
          <w:cantSplit/>
        </w:trPr>
        <w:tc>
          <w:tcPr>
            <w:tcW w:type="dxa" w:w="8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Moderate</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11,877</w:t>
            </w:r>
          </w:p>
        </w:tc>
        <w:tc>
          <w:tcPr>
            <w:tcW w:type="dxa" w:w="8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14.2%</w:t>
            </w:r>
          </w:p>
        </w:tc>
        <w:tc>
          <w:tcPr>
            <w:tcW w:type="dxa" w:w="14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5.5 (5.0-6.0)</w:t>
            </w:r>
          </w:p>
        </w:tc>
        <w:tc>
          <w:tcPr>
            <w:tcW w:type="dxa" w:w="7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4.9</w:t>
            </w:r>
          </w:p>
        </w:tc>
      </w:tr>
      <w:tr>
        <w:trPr>
          <w:cantSplit/>
        </w:trPr>
        <w:tc>
          <w:tcPr>
            <w:tcW w:type="dxa" w:w="850"/>
            <w:vAlign w:val="center"/>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High</w:t>
            </w:r>
          </w:p>
        </w:tc>
        <w:tc>
          <w:tcPr>
            <w:tcW w:type="dxa" w:w="6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7,844</w:t>
            </w:r>
          </w:p>
        </w:tc>
        <w:tc>
          <w:tcPr>
            <w:tcW w:type="dxa" w:w="8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29.1%</w:t>
            </w:r>
          </w:p>
        </w:tc>
        <w:tc>
          <w:tcPr>
            <w:tcW w:type="dxa" w:w="145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13.7 (12.5-14.9)</w:t>
            </w:r>
          </w:p>
        </w:tc>
        <w:tc>
          <w:tcPr>
            <w:tcW w:type="dxa" w:w="700"/>
            <w:vAlign w:val="center"/>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10.0</w:t>
            </w:r>
          </w:p>
        </w:tc>
      </w:tr>
      <w:tr>
        <w:trPr>
          <w:cantSplit/>
        </w:trPr>
        <w:tc>
          <w:tcPr>
            <w:tcW w:type="dxa" w:w="850"/>
            <w:vAlign w:val="center"/>
            <w:tcBorders>
              <w:bottom w:val="single" w:color="111111" w:sz="8" w:space="0"/>
            </w:tcBorders>
            <w:tcMar>
              <w:top w:w="80" w:type="dxa"/>
              <w:bottom w:w="80" w:type="dxa"/>
              <w:start w:w="120" w:type="dxa"/>
              <w:end w:w="120" w:type="dxa"/>
            </w:tcMar>
          </w:tcPr>
          <w:p>
            <w:pPr>
              <w:spacing w:after="0" w:line="240" w:lineRule="auto"/>
              <w:jc w:val="left"/>
            </w:pPr>
            <w:r/>
            <w:r>
              <w:rPr>
                <w:rFonts w:ascii="Times New Roman" w:hAnsi="Times New Roman" w:eastAsia="Times New Roman"/>
                <w:b w:val="0"/>
                <w:i w:val="0"/>
                <w:sz w:val="14"/>
              </w:rPr>
              <w:t>Very high</w:t>
            </w:r>
          </w:p>
        </w:tc>
        <w:tc>
          <w:tcPr>
            <w:tcW w:type="dxa" w:w="65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4,866</w:t>
            </w:r>
          </w:p>
        </w:tc>
        <w:tc>
          <w:tcPr>
            <w:tcW w:type="dxa" w:w="85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48.0%</w:t>
            </w:r>
          </w:p>
        </w:tc>
        <w:tc>
          <w:tcPr>
            <w:tcW w:type="dxa" w:w="145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30.7 (28.0-33.6)</w:t>
            </w:r>
          </w:p>
        </w:tc>
        <w:tc>
          <w:tcPr>
            <w:tcW w:type="dxa" w:w="700"/>
            <w:vAlign w:val="center"/>
            <w:tcBorders>
              <w:bottom w:val="single" w:color="111111" w:sz="8" w:space="0"/>
            </w:tcBorders>
            <w:tcMar>
              <w:top w:w="80" w:type="dxa"/>
              <w:bottom w:w="80" w:type="dxa"/>
              <w:start w:w="120" w:type="dxa"/>
              <w:end w:w="120" w:type="dxa"/>
            </w:tcMar>
          </w:tcPr>
          <w:p>
            <w:pPr>
              <w:spacing w:after="0" w:line="240" w:lineRule="auto"/>
              <w:jc w:val="center"/>
            </w:pPr>
            <w:r/>
            <w:r>
              <w:rPr>
                <w:rFonts w:ascii="Times New Roman" w:hAnsi="Times New Roman" w:eastAsia="Times New Roman"/>
                <w:b w:val="0"/>
                <w:i w:val="0"/>
                <w:sz w:val="14"/>
              </w:rPr>
              <w:t>16.4</w:t>
            </w:r>
          </w:p>
        </w:tc>
      </w:tr>
    </w:tbl>
    <w:p>
      <w:pPr>
        <w:spacing w:after="40"/>
      </w:pPr>
    </w:p>
    <w:p>
      <w:pPr>
        <w:keepNext/>
        <w:spacing w:after="20"/>
        <w:jc w:val="center"/>
      </w:pPr>
      <w:r>
        <w:drawing>
          <wp:inline xmlns:a="http://schemas.openxmlformats.org/drawingml/2006/main" xmlns:pic="http://schemas.openxmlformats.org/drawingml/2006/picture">
            <wp:extent cx="2788920" cy="1825475"/>
            <wp:docPr id="2115247371" name="Picture 2115247371" descr="Figure 3. Odds ratios and 95% confidence intervals by calibrated risk band on a logarithmic scale." title="Figure 3"/>
            <wp:cNvGraphicFramePr>
              <a:graphicFrameLocks noChangeAspect="1"/>
            </wp:cNvGraphicFramePr>
            <a:graphic>
              <a:graphicData uri="http://schemas.openxmlformats.org/drawingml/2006/picture">
                <pic:pic>
                  <pic:nvPicPr>
                    <pic:cNvPr id="0" name="figure_risk_or.png"/>
                    <pic:cNvPicPr/>
                  </pic:nvPicPr>
                  <pic:blipFill>
                    <a:blip r:embed="rId55"/>
                    <a:stretch>
                      <a:fillRect/>
                    </a:stretch>
                  </pic:blipFill>
                  <pic:spPr>
                    <a:xfrm>
                      <a:off x="0" y="0"/>
                      <a:ext cx="2788920" cy="1825475"/>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3. Odds ratios and 95% confidence intervals by calibrated risk band on a logarithmic scale.</w:t>
      </w:r>
    </w:p>
    <w:p>
      <w:pPr>
        <w:keepNext/>
        <w:spacing w:after="20"/>
        <w:jc w:val="center"/>
      </w:pPr>
      <w:r>
        <w:drawing>
          <wp:inline xmlns:a="http://schemas.openxmlformats.org/drawingml/2006/main" xmlns:pic="http://schemas.openxmlformats.org/drawingml/2006/picture">
            <wp:extent cx="2788920" cy="1825475"/>
            <wp:docPr id="2115247372" name="Picture 2115247372" descr="Figure 4. Population size and observed diabetes prevalence across the four risk bands." title="Figure 4"/>
            <wp:cNvGraphicFramePr>
              <a:graphicFrameLocks noChangeAspect="1"/>
            </wp:cNvGraphicFramePr>
            <a:graphic>
              <a:graphicData uri="http://schemas.openxmlformats.org/drawingml/2006/picture">
                <pic:pic>
                  <pic:nvPicPr>
                    <pic:cNvPr id="0" name="figure_risk_distribution.png"/>
                    <pic:cNvPicPr/>
                  </pic:nvPicPr>
                  <pic:blipFill>
                    <a:blip r:embed="rId56"/>
                    <a:stretch>
                      <a:fillRect/>
                    </a:stretch>
                  </pic:blipFill>
                  <pic:spPr>
                    <a:xfrm>
                      <a:off x="0" y="0"/>
                      <a:ext cx="2788920" cy="1825475"/>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4. Population size and observed diabetes prevalence across the four risk bands.</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D. Interpretability</w:t>
      </w:r>
    </w:p>
    <w:p>
      <w:pPr>
        <w:pStyle w:val="NormalWeb"/>
        <w:keepNext w:val="0"/>
        <w:spacing w:after="100" w:line="240" w:lineRule="auto"/>
        <w:jc w:val="both"/>
        <w:rPr>
          <w:lang w:val="en-US"/>
        </w:rPr>
      </w:pPr>
      <w:r>
        <w:rPr>
          <w:rFonts w:ascii="Times New Roman" w:hAnsi="Times New Roman" w:eastAsia="Times New Roman"/>
          <w:b w:val="0"/>
          <w:i w:val="0"/>
          <w:sz w:val="23"/>
          <w:lang w:val="en-US"/>
        </w:rPr>
        <w:t>SHAP attributions and permutation importance agreed on the dominant signal. General health, hypertension, BMI, age, and high cholesterol increased predicted risk, while higher income, physical activity, and fruit and vegetable intake were associated with lower risk. These patterns are clinically plausible and consistent with established cardiometabolic and socioeconomic risk, but they remain associations within the fitted model rather than causal effects.</w:t>
      </w:r>
    </w:p>
    <w:p>
      <w:pPr>
        <w:keepNext/>
        <w:spacing w:after="20"/>
        <w:jc w:val="center"/>
      </w:pPr>
      <w:r>
        <w:drawing>
          <wp:inline xmlns:a="http://schemas.openxmlformats.org/drawingml/2006/main" xmlns:pic="http://schemas.openxmlformats.org/drawingml/2006/picture">
            <wp:extent cx="2788920" cy="2744386"/>
            <wp:docPr id="2115247373" name="Picture 2115247373" descr="Figure 5. SHAP summary for the selected model. Color represents feature value and horizontal position represents contribution to predicted risk." title="Figure 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788920" cy="2744386"/>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5. SHAP summary for the selected model. Color represents feature value and horizontal position represents contribution to predicted risk.</w:t>
      </w:r>
    </w:p>
    <w:p>
      <w:pPr>
        <w:keepNext/>
        <w:spacing w:after="20"/>
        <w:jc w:val="center"/>
      </w:pPr>
      <w:r>
        <w:drawing>
          <wp:inline xmlns:a="http://schemas.openxmlformats.org/drawingml/2006/main" xmlns:pic="http://schemas.openxmlformats.org/drawingml/2006/picture">
            <wp:extent cx="2788920" cy="2123571"/>
            <wp:docPr id="2115247374" name="Picture 2115247374" descr="Figure 6. Permutation importance measured as the decrease in ROC-AUC. The ranking corroborates the SHAP signal." title="Figure 6"/>
            <wp:cNvGraphicFramePr>
              <a:graphicFrameLocks noChangeAspect="1"/>
            </wp:cNvGraphicFramePr>
            <a:graphic>
              <a:graphicData uri="http://schemas.openxmlformats.org/drawingml/2006/picture">
                <pic:pic>
                  <pic:nvPicPr>
                    <pic:cNvPr id="0" name="figure_permutation_en.png"/>
                    <pic:cNvPicPr/>
                  </pic:nvPicPr>
                  <pic:blipFill>
                    <a:blip r:embed="rId57"/>
                    <a:stretch>
                      <a:fillRect/>
                    </a:stretch>
                  </pic:blipFill>
                  <pic:spPr>
                    <a:xfrm>
                      <a:off x="0" y="0"/>
                      <a:ext cx="2788920" cy="2123571"/>
                    </a:xfrm>
                    <a:prstGeom prst="rect"/>
                  </pic:spPr>
                </pic:pic>
              </a:graphicData>
            </a:graphic>
          </wp:inline>
        </w:drawing>
      </w:r>
    </w:p>
    <w:p>
      <w:pPr>
        <w:keepNext w:val="0"/>
        <w:spacing w:after="100" w:line="240" w:lineRule="auto"/>
        <w:jc w:val="both"/>
        <w:rPr>
          <w:rFonts w:ascii="Times New Roman" w:hAnsi="Times New Roman"/>
          <w:bCs/>
          <w:sz w:val="20"/>
          <w:szCs w:val="20"/>
          <w:lang w:val="en-GB"/>
        </w:rPr>
      </w:pPr>
      <w:r>
        <w:rPr>
          <w:rFonts w:ascii="Times New Roman" w:hAnsi="Times New Roman" w:eastAsia="Times New Roman"/>
          <w:b w:val="0"/>
          <w:bCs/>
          <w:i w:val="0"/>
          <w:sz w:val="19"/>
          <w:szCs w:val="20"/>
          <w:lang w:val="en-GB"/>
        </w:rPr>
        <w:t>Figure 6. Permutation importance measured as the decrease in ROC-AUC. The ranking corroborates the SHAP signal.</w:t>
      </w:r>
    </w:p>
    <w:p>
      <w:pPr>
        <w:pStyle w:val="NormalWeb"/>
        <w:keepNext/>
        <w:spacing w:after="100" w:line="240" w:lineRule="auto"/>
        <w:jc w:val="both"/>
        <w:rPr>
          <w:b/>
          <w:bCs/>
          <w:lang w:val="en-US"/>
        </w:rPr>
      </w:pPr>
      <w:r>
        <w:rPr>
          <w:rFonts w:ascii="Times New Roman" w:hAnsi="Times New Roman" w:eastAsia="Times New Roman"/>
          <w:b/>
          <w:bCs/>
          <w:i w:val="0"/>
          <w:sz w:val="24"/>
          <w:lang w:val="en-US"/>
        </w:rPr>
        <w:t>Discussion</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 Why complex models provide little additional discrimination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five strongest estimators differ by no more than 0.003 ROC-AUC, and the best nonlinear model exceeds logistic regression by only 0.007. This near-equivalence indicates that much of the BRFSS signal is additive and low order. Once the main effects of general health, hypertension, BMI, age, and cholesterol are represented, there is limited additional interaction structure for flexible trees or neural networks to exploit.</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B. The observed performance plateau</w:t>
      </w:r>
    </w:p>
    <w:p>
      <w:pPr>
        <w:pStyle w:val="NormalWeb"/>
        <w:keepNext w:val="0"/>
        <w:spacing w:after="100" w:line="240" w:lineRule="auto"/>
        <w:jc w:val="both"/>
        <w:rPr>
          <w:lang w:val="en-US"/>
        </w:rPr>
      </w:pPr>
      <w:r>
        <w:rPr>
          <w:rFonts w:ascii="Times New Roman" w:hAnsi="Times New Roman" w:eastAsia="Times New Roman"/>
          <w:b w:val="0"/>
          <w:i w:val="0"/>
          <w:sz w:val="23"/>
          <w:lang w:val="en-US"/>
        </w:rPr>
        <w:t>Nine different inductive biases plateau near ROC-AUC 0.83. The most defensible explanation is an information ceiling imposed by coarse self-reported predictors, not universal impossibility. Biomarkers, longitudinal trajectories, medication history, genetics, or more precise behavior measurements could shift the plateau. The conclusion is comparative: none of the evaluated algorithms escapes the limit of the present variables and population.</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 Clinical and public-health meaning</w:t>
      </w:r>
    </w:p>
    <w:p>
      <w:pPr>
        <w:pStyle w:val="NormalWeb"/>
        <w:keepNext w:val="0"/>
        <w:spacing w:after="100" w:line="240" w:lineRule="auto"/>
        <w:jc w:val="both"/>
        <w:rPr>
          <w:lang w:val="en-US"/>
        </w:rPr>
      </w:pPr>
      <w:r>
        <w:rPr>
          <w:rFonts w:ascii="Times New Roman" w:hAnsi="Times New Roman" w:eastAsia="Times New Roman"/>
          <w:b w:val="0"/>
          <w:i w:val="0"/>
          <w:sz w:val="23"/>
          <w:lang w:val="en-US"/>
        </w:rPr>
        <w:t>An AUC near 0.83 is insufficient for individual diagnosis but useful for population triage. The Very high band represents about 10% of the cohort and concentrates an observed prevalence of 48%, a 3.4-fold enrichment over the base rate. A questionnaire-based pre-screen could prioritize confirmatory HbA1c or glucose testing when resources are limited. Diagnosis still requires biochemical confirmation under clinical standards [33].</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actionable output is not a binary label but a calibrated probability, risk band, uncertainty statement, and explanation. Presenting the 0.5 default prediction would omit most cases for several models and encourage automation bias. Safe deployment requires local recalibration, monitoring for population drift, documentation of the intended screening use, and interfaces that clearly state that the result is not a diagnosis.</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D. Leakage and data governance</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absence of diagnostic laboratories makes this benchmark leakage-aware by construction. If HbA1c or fasting glucose were admitted as predictors, the model would largely relearn diagnostic thresholds and ROC-AUC could approach 0.98. The approximate 0.15 gain from biomarkers is about twenty times the 0.007 gap between algorithms. Variable admissibility is therefore a more consequential modeling decision than choosing among top estimators [8], [9].</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E. Interpretability and reporting</w:t>
      </w:r>
    </w:p>
    <w:p>
      <w:pPr>
        <w:pStyle w:val="NormalWeb"/>
        <w:keepNext w:val="0"/>
        <w:spacing w:after="100" w:line="240" w:lineRule="auto"/>
        <w:jc w:val="both"/>
        <w:rPr>
          <w:lang w:val="en-US"/>
        </w:rPr>
      </w:pPr>
      <w:r>
        <w:rPr>
          <w:rFonts w:ascii="Times New Roman" w:hAnsi="Times New Roman" w:eastAsia="Times New Roman"/>
          <w:b w:val="0"/>
          <w:i w:val="0"/>
          <w:sz w:val="23"/>
          <w:lang w:val="en-US"/>
        </w:rPr>
        <w:t>Agreement between SHAP and permutation importance increases confidence that the model uses recognizable epidemiological structure. It does not prove causality or fairness. Income and healthcare access may encode structural inequities, and explanations can appear plausible even when validation is inadequate [19]. Reporting should follow transparent guidance such as TRIPOD+AI, including data provenance, missingness, sample flow, calibration, thresholds, and external validation [35].</w:t>
      </w:r>
    </w:p>
    <w:p>
      <w:pPr>
        <w:pStyle w:val="NormalWeb"/>
        <w:keepNext/>
        <w:spacing w:after="100" w:line="240" w:lineRule="auto"/>
        <w:jc w:val="both"/>
        <w:rPr>
          <w:b/>
          <w:bCs/>
          <w:lang w:val="en-US"/>
        </w:rPr>
      </w:pPr>
      <w:r>
        <w:rPr>
          <w:rFonts w:ascii="Times New Roman" w:hAnsi="Times New Roman" w:eastAsia="Times New Roman"/>
          <w:b/>
          <w:bCs/>
          <w:i w:val="0"/>
          <w:sz w:val="24"/>
          <w:lang w:val="en-US"/>
        </w:rPr>
        <w:t>Lessons for Clinical Machine Learning</w:t>
      </w:r>
    </w:p>
    <w:p>
      <w:pPr>
        <w:pStyle w:val="NormalWeb"/>
        <w:keepNext w:val="0"/>
        <w:spacing w:after="100" w:line="240" w:lineRule="auto"/>
        <w:jc w:val="both"/>
        <w:rPr>
          <w:lang w:val="en-US"/>
        </w:rPr>
      </w:pPr>
      <w:r>
        <w:rPr>
          <w:rFonts w:ascii="Times New Roman" w:hAnsi="Times New Roman" w:eastAsia="Times New Roman"/>
          <w:b w:val="0"/>
          <w:i w:val="0"/>
          <w:sz w:val="23"/>
          <w:lang w:val="en-US"/>
        </w:rPr>
        <w:t>First, strong baselines are mandatory: complex models should be compared against regularized logistic regression under the same preprocessing and splits. Second, leakage control begins with a clinical definition of what information is available at prediction time. Third, probability calibration is not optional when outputs drive thresholds. Fourth, interpretability must connect to decisions rather than decorative plots. Fifth, a model that supports screening must be governed, recalibrated, monitored, and prevented from replacing professional judgment.</w:t>
      </w:r>
    </w:p>
    <w:p>
      <w:pPr>
        <w:pStyle w:val="NormalWeb"/>
        <w:keepNext/>
        <w:spacing w:after="100" w:line="240" w:lineRule="auto"/>
        <w:jc w:val="both"/>
        <w:rPr>
          <w:b/>
          <w:bCs/>
          <w:lang w:val="en-US"/>
        </w:rPr>
      </w:pPr>
      <w:r>
        <w:rPr>
          <w:rFonts w:ascii="Times New Roman" w:hAnsi="Times New Roman" w:eastAsia="Times New Roman"/>
          <w:b/>
          <w:bCs/>
          <w:i w:val="0"/>
          <w:sz w:val="24"/>
          <w:lang w:val="en-US"/>
        </w:rPr>
        <w:t>Limitations and Threats to Validity</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study is observational and cross-sectional. BRFSS supports association, not causation, and SHAP values or odds ratios must not be interpreted as intervention effects. Predictors and outcome are self-reported by telephone, which introduces recall and desirability bias. Previously undiagnosed diabetes is labeled negative, attenuating measured associations and potentially underestimating attainable signal.</w:t>
      </w:r>
    </w:p>
    <w:p>
      <w:pPr>
        <w:pStyle w:val="NormalWeb"/>
        <w:keepNext w:val="0"/>
        <w:spacing w:after="100" w:line="240" w:lineRule="auto"/>
        <w:jc w:val="both"/>
        <w:rPr>
          <w:lang w:val="en-US"/>
        </w:rPr>
      </w:pPr>
      <w:r>
        <w:rPr>
          <w:rFonts w:ascii="Times New Roman" w:hAnsi="Times New Roman" w:eastAsia="Times New Roman"/>
          <w:b w:val="0"/>
          <w:i w:val="0"/>
          <w:sz w:val="23"/>
          <w:lang w:val="en-US"/>
        </w:rPr>
        <w:t>Selection and coverage bias may underrepresent people without stable telephone access and nonrespondents. The public extract does not apply survey weights, so descriptive estimates should not be interpreted as nationally representative. Socioeconomic variables may reflect access disparities rather than biology, creating equity concerns if the score is used to ration care.</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dataset lacks HbA1c, glucose, lipids, detailed family history, medication, genetics, and longitudinal measurements. The observed plateau is conditional on this restricted feature space. Results also concern United States adults surveyed in 2015; transport to other countries, health systems, or current populations requires external validation and recalibration.</w:t>
      </w:r>
    </w:p>
    <w:p>
      <w:pPr>
        <w:pStyle w:val="NormalWeb"/>
        <w:keepNext w:val="0"/>
        <w:spacing w:after="100" w:line="240" w:lineRule="auto"/>
        <w:jc w:val="both"/>
        <w:rPr>
          <w:lang w:val="en-US"/>
        </w:rPr>
      </w:pPr>
      <w:r>
        <w:rPr>
          <w:rFonts w:ascii="Times New Roman" w:hAnsi="Times New Roman" w:eastAsia="Times New Roman"/>
          <w:b w:val="0"/>
          <w:i w:val="0"/>
          <w:sz w:val="23"/>
          <w:lang w:val="en-US"/>
        </w:rPr>
        <w:t>Exact duplicate response vectors can cross random partitions and slightly inflate absolute discrimination. They were retained because respondent identifiers are unavailable and removing repeated categorical profiles would change prevalence. This affects all models similarly and is unlikely to alter the comparative conclusion, but a grouped sensitivity analysis should be added when identifiers or defensible grouping keys become available.</w:t>
      </w:r>
    </w:p>
    <w:p>
      <w:pPr>
        <w:pStyle w:val="NormalWeb"/>
        <w:keepNext w:val="0"/>
        <w:spacing w:after="100" w:line="240" w:lineRule="auto"/>
        <w:jc w:val="both"/>
        <w:rPr>
          <w:lang w:val="en-US"/>
        </w:rPr>
      </w:pPr>
      <w:r>
        <w:rPr>
          <w:rFonts w:ascii="Times New Roman" w:hAnsi="Times New Roman" w:eastAsia="Times New Roman"/>
          <w:b w:val="0"/>
          <w:i w:val="0"/>
          <w:sz w:val="23"/>
          <w:lang w:val="en-US"/>
        </w:rPr>
        <w:t>SVM and KNN were tuned on subsamples, which may underestimate their performance. Threshold-dependent metrics use a 0.5 cutoff and should not be confused with the calibrated risk-band policy. Finally, the study uses one stratified split with bootstrap uncertainty. Repeated cross-validation, multiple seeds, prospective validation, and decision-curve analysis remain important extensions.</w:t>
      </w:r>
    </w:p>
    <w:p>
      <w:pPr>
        <w:pStyle w:val="NormalWeb"/>
        <w:keepNext/>
        <w:spacing w:after="100" w:line="240" w:lineRule="auto"/>
        <w:jc w:val="both"/>
        <w:rPr>
          <w:b/>
          <w:bCs/>
          <w:lang w:val="en-US"/>
        </w:rPr>
      </w:pPr>
      <w:r>
        <w:rPr>
          <w:rFonts w:ascii="Times New Roman" w:hAnsi="Times New Roman" w:eastAsia="Times New Roman"/>
          <w:b/>
          <w:bCs/>
          <w:i w:val="0"/>
          <w:sz w:val="24"/>
          <w:lang w:val="en-US"/>
        </w:rPr>
        <w:t>Future Work</w:t>
      </w:r>
    </w:p>
    <w:p>
      <w:pPr>
        <w:pStyle w:val="NormalWeb"/>
        <w:keepNext w:val="0"/>
        <w:spacing w:after="100" w:line="240" w:lineRule="auto"/>
        <w:jc w:val="both"/>
        <w:rPr>
          <w:lang w:val="en-US"/>
        </w:rPr>
      </w:pPr>
      <w:r>
        <w:rPr>
          <w:rFonts w:ascii="Times New Roman" w:hAnsi="Times New Roman" w:eastAsia="Times New Roman"/>
          <w:b w:val="0"/>
          <w:i w:val="0"/>
          <w:sz w:val="23"/>
          <w:lang w:val="en-US"/>
        </w:rPr>
        <w:t>Future work should validate the model prospectively in Mexican and local clinical populations, monitor calibration over time, and evaluate fairness across sex, age, income, and access groups. Longitudinal PREDIA records could support trajectory models that distinguish stable risk from rapid deterioration. Patient-level explanations should be tested with clinicians for comprehension and actionability. Model and dataset versioning, automated metric gates, drift monitoring, and audit logs are needed before operational use.</w:t>
      </w:r>
    </w:p>
    <w:p>
      <w:pPr>
        <w:pStyle w:val="NormalWeb"/>
        <w:keepNext/>
        <w:spacing w:after="100" w:line="240" w:lineRule="auto"/>
        <w:jc w:val="both"/>
        <w:rPr>
          <w:b/>
          <w:bCs/>
          <w:lang w:val="en-US"/>
        </w:rPr>
      </w:pPr>
      <w:r>
        <w:rPr>
          <w:rFonts w:ascii="Times New Roman" w:hAnsi="Times New Roman" w:eastAsia="Times New Roman"/>
          <w:b/>
          <w:bCs/>
          <w:i w:val="0"/>
          <w:sz w:val="24"/>
          <w:lang w:val="en-US"/>
        </w:rPr>
        <w:t>Conclusions</w:t>
      </w:r>
    </w:p>
    <w:p>
      <w:pPr>
        <w:pStyle w:val="NormalWeb"/>
        <w:keepNext w:val="0"/>
        <w:spacing w:after="100" w:line="240" w:lineRule="auto"/>
        <w:jc w:val="both"/>
        <w:rPr>
          <w:lang w:val="en-US"/>
        </w:rPr>
      </w:pPr>
      <w:r>
        <w:rPr>
          <w:rFonts w:ascii="Times New Roman" w:hAnsi="Times New Roman" w:eastAsia="Times New Roman"/>
          <w:b w:val="0"/>
          <w:i w:val="0"/>
          <w:sz w:val="23"/>
          <w:lang w:val="en-US"/>
        </w:rPr>
        <w:t>Across nine estimators, available information limited performance more than algorithm choice. The models plateaued near ROC-AUC 0.83, and the best nonlinear approach improved over regularized logistic regression by only ΔAUC = 0.007. This difference was statistically detectable but practically small. Raw accuracy obscured poor sensitivity at the default threshold, while calibration and cost-sensitive risk bands produced a clinically clearer output.</w:t>
      </w:r>
    </w:p>
    <w:p>
      <w:pPr>
        <w:pStyle w:val="NormalWeb"/>
        <w:keepNext w:val="0"/>
        <w:spacing w:after="100" w:line="240" w:lineRule="auto"/>
        <w:jc w:val="both"/>
        <w:rPr>
          <w:lang w:val="en-US"/>
        </w:rPr>
      </w:pPr>
      <w:r>
        <w:rPr>
          <w:rFonts w:ascii="Times New Roman" w:hAnsi="Times New Roman" w:eastAsia="Times New Roman"/>
          <w:b w:val="0"/>
          <w:i w:val="0"/>
          <w:sz w:val="23"/>
          <w:lang w:val="en-US"/>
        </w:rPr>
        <w:t>Isotonic calibration achieved test ECE = 0.0029, and the four risk bands separated observed prevalence from 2.9% to 48.0%. SHAP and permutation importance recovered plausible cardiometabolic and socioeconomic patterns. The model is therefore best understood as a transparent population-screening aid that prioritizes confirmatory evaluation, not as a diagnostic system. Methodological rigor, admissible variables, calibration, interpretability, reproducibility, and local monitoring offer more value than marginal gains in discrimination.</w:t>
      </w:r>
    </w:p>
    <w:p>
      <w:pPr>
        <w:pStyle w:val="NormalWeb"/>
        <w:keepNext/>
        <w:spacing w:after="100" w:line="240" w:lineRule="auto"/>
        <w:jc w:val="both"/>
        <w:rPr>
          <w:b/>
          <w:bCs/>
          <w:lang w:val="en-US"/>
        </w:rPr>
      </w:pPr>
      <w:r>
        <w:rPr>
          <w:rFonts w:ascii="Times New Roman" w:hAnsi="Times New Roman" w:eastAsia="Times New Roman"/>
          <w:b/>
          <w:bCs/>
          <w:i w:val="0"/>
          <w:sz w:val="24"/>
          <w:lang w:val="en-US"/>
        </w:rPr>
        <w:t>Reproducibility Statement</w:t>
      </w:r>
    </w:p>
    <w:p>
      <w:pPr>
        <w:pStyle w:val="NormalWeb"/>
        <w:keepNext w:val="0"/>
        <w:spacing w:after="100" w:line="240" w:lineRule="auto"/>
        <w:jc w:val="both"/>
        <w:rPr>
          <w:lang w:val="en-US"/>
        </w:rPr>
      </w:pPr>
      <w:r>
        <w:rPr>
          <w:rFonts w:ascii="Times New Roman" w:hAnsi="Times New Roman" w:eastAsia="Times New Roman"/>
          <w:b w:val="0"/>
          <w:i w:val="0"/>
          <w:sz w:val="23"/>
          <w:lang w:val="en-US"/>
        </w:rPr>
        <w:t>All models used a fixed random seed, one shared stratified 60/20/20 partition, and preprocessing fitted only inside training folds. The held-out test set was never used for model selection or calibration fitting. Source data are public [23], [24]. PREDIA stores model-comparison tables, confidence intervals, ROC and PR figures, calibration plots, confusion matrices, serialized models, and executable pipeline artifacts under ml-research/brfss. These materials support independent checking of every reported numerical result.</w:t>
      </w:r>
    </w:p>
    <w:p>
      <w:pPr>
        <w:pStyle w:val="NormalWeb"/>
        <w:keepNext/>
        <w:spacing w:after="100" w:line="240" w:lineRule="auto"/>
        <w:jc w:val="both"/>
        <w:rPr>
          <w:b/>
          <w:bCs/>
          <w:lang w:val="en-US"/>
        </w:rPr>
      </w:pPr>
      <w:r>
        <w:rPr>
          <w:rFonts w:ascii="Times New Roman" w:hAnsi="Times New Roman" w:eastAsia="Times New Roman"/>
          <w:b/>
          <w:bCs/>
          <w:i w:val="0"/>
          <w:sz w:val="24"/>
          <w:lang w:val="en-US"/>
        </w:rPr>
        <w:t>Declarations</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Conflict of interest</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authors declare that they have no known competing financial interests or personal relationships that could have influenced the work reported in this article.</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Author contributions</w:t>
      </w:r>
    </w:p>
    <w:p>
      <w:pPr>
        <w:pStyle w:val="NormalWeb"/>
        <w:keepNext w:val="0"/>
        <w:spacing w:after="100" w:line="240" w:lineRule="auto"/>
        <w:jc w:val="both"/>
        <w:rPr>
          <w:lang w:val="en-US"/>
        </w:rPr>
      </w:pPr>
      <w:r>
        <w:rPr>
          <w:rFonts w:ascii="Times New Roman" w:hAnsi="Times New Roman" w:eastAsia="Times New Roman"/>
          <w:b w:val="0"/>
          <w:i w:val="0"/>
          <w:sz w:val="23"/>
          <w:lang w:val="en-US"/>
        </w:rPr>
        <w:t>Guillermo Álvarez Sánchez: conceptualization, methodology, software, data curation, formal analysis, model implementation, visualization, original draft, and review and editing.</w:t>
      </w:r>
    </w:p>
    <w:p>
      <w:pPr>
        <w:pStyle w:val="NormalWeb"/>
        <w:keepNext w:val="0"/>
        <w:spacing w:after="100" w:line="240" w:lineRule="auto"/>
        <w:jc w:val="both"/>
        <w:rPr>
          <w:lang w:val="en-US"/>
        </w:rPr>
      </w:pPr>
      <w:r>
        <w:rPr>
          <w:rFonts w:ascii="Times New Roman" w:hAnsi="Times New Roman" w:eastAsia="Times New Roman"/>
          <w:b w:val="0"/>
          <w:i w:val="0"/>
          <w:sz w:val="23"/>
          <w:lang w:val="en-US"/>
        </w:rPr>
        <w:t>Iván Peredo Valderrama: scientific supervision, methodological guidance, validation, correspondence, and review and editing.</w:t>
      </w:r>
    </w:p>
    <w:p>
      <w:pPr>
        <w:pStyle w:val="NormalWeb"/>
        <w:keepNext w:val="0"/>
        <w:spacing w:after="100" w:line="240" w:lineRule="auto"/>
        <w:jc w:val="both"/>
        <w:rPr>
          <w:lang w:val="en-US"/>
        </w:rPr>
      </w:pPr>
      <w:r>
        <w:rPr>
          <w:rFonts w:ascii="Times New Roman" w:hAnsi="Times New Roman" w:eastAsia="Times New Roman"/>
          <w:b w:val="0"/>
          <w:i w:val="0"/>
          <w:sz w:val="23"/>
          <w:lang w:val="en-US"/>
        </w:rPr>
        <w:t>José Javier Moya Moya: academic and scientific supervision, methodological review, validation, and review and editing.</w:t>
      </w:r>
    </w:p>
    <w:p>
      <w:pPr>
        <w:pStyle w:val="NormalWeb"/>
        <w:keepNext w:val="0"/>
        <w:spacing w:after="100" w:line="240" w:lineRule="auto"/>
        <w:jc w:val="both"/>
        <w:rPr>
          <w:lang w:val="en-US"/>
        </w:rPr>
      </w:pPr>
      <w:r>
        <w:rPr>
          <w:rFonts w:ascii="Times New Roman" w:hAnsi="Times New Roman" w:eastAsia="Times New Roman"/>
          <w:b w:val="0"/>
          <w:i w:val="0"/>
          <w:sz w:val="23"/>
          <w:lang w:val="en-US"/>
        </w:rPr>
        <w:t>Jairo Pacindo Piña: validation of results, critical review of scientific content, and review and editing.</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Data and materials availability</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BRFSS-derived data used in this study are publicly available [23], [24]. Processed results and reproducibility artifacts are maintained in the PREDIA research repository.</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Funding</w:t>
      </w:r>
    </w:p>
    <w:p>
      <w:pPr>
        <w:pStyle w:val="NormalWeb"/>
        <w:keepNext w:val="0"/>
        <w:spacing w:after="100" w:line="240" w:lineRule="auto"/>
        <w:jc w:val="both"/>
        <w:rPr>
          <w:lang w:val="en-US"/>
        </w:rPr>
      </w:pPr>
      <w:r>
        <w:rPr>
          <w:rFonts w:ascii="Times New Roman" w:hAnsi="Times New Roman" w:eastAsia="Times New Roman"/>
          <w:b w:val="0"/>
          <w:i w:val="0"/>
          <w:sz w:val="23"/>
          <w:lang w:val="en-US"/>
        </w:rPr>
        <w:t>This research received no specific external funding from a public, commercial, or not-for-profit funding agency.</w:t>
      </w:r>
    </w:p>
    <w:p>
      <w:pPr>
        <w:keepNext/>
        <w:spacing w:after="80" w:line="240" w:lineRule="auto"/>
        <w:jc w:val="both"/>
        <w:rPr>
          <w:rFonts w:ascii="Times New Roman" w:hAnsi="Times New Roman"/>
          <w:bCs/>
          <w:sz w:val="24"/>
          <w:szCs w:val="24"/>
          <w:lang w:val="en-GB"/>
        </w:rPr>
      </w:pPr>
      <w:r>
        <w:rPr>
          <w:rFonts w:ascii="Times New Roman" w:hAnsi="Times New Roman" w:eastAsia="Times New Roman"/>
          <w:b w:val="0"/>
          <w:bCs/>
          <w:i w:val="0"/>
          <w:sz w:val="24"/>
          <w:szCs w:val="24"/>
          <w:lang w:val="en-GB"/>
        </w:rPr>
        <w:t>Acknowledgements</w:t>
      </w:r>
    </w:p>
    <w:p>
      <w:pPr>
        <w:pStyle w:val="NormalWeb"/>
        <w:keepNext w:val="0"/>
        <w:spacing w:after="100" w:line="240" w:lineRule="auto"/>
        <w:jc w:val="both"/>
        <w:rPr>
          <w:lang w:val="en-US"/>
        </w:rPr>
      </w:pPr>
      <w:r>
        <w:rPr>
          <w:rFonts w:ascii="Times New Roman" w:hAnsi="Times New Roman" w:eastAsia="Times New Roman"/>
          <w:b w:val="0"/>
          <w:i w:val="0"/>
          <w:sz w:val="23"/>
          <w:lang w:val="en-US"/>
        </w:rPr>
        <w:t>The authors thank the Universidad Politécnica de Querétaro for the facilities and institutional support provided during this research.</w:t>
      </w:r>
    </w:p>
    <w:p>
      <w:pPr>
        <w:pStyle w:val="NormalWeb"/>
        <w:keepNext/>
        <w:spacing w:after="100" w:line="240" w:lineRule="auto"/>
        <w:jc w:val="both"/>
        <w:rPr>
          <w:b/>
          <w:bCs/>
          <w:lang w:val="en-US"/>
        </w:rPr>
      </w:pPr>
      <w:r>
        <w:rPr>
          <w:rFonts w:ascii="Times New Roman" w:hAnsi="Times New Roman" w:eastAsia="Times New Roman"/>
          <w:b/>
          <w:bCs/>
          <w:i w:val="0"/>
          <w:sz w:val="24"/>
          <w:lang w:val="en-US"/>
        </w:rPr>
        <w:t>References</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 International Diabetes Federation, "IDF diabetes atlas, 10th ed." International Diabetes Federation, Brussels, Belgium, Tech. Rep., 2021.</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 American Diabetes Association, "Classification and diagnosis of diabetes: Standards of medical care in diabetes - 2021," Diabetes Care, vol. 44, no. Supplement 1, pp. S15-S33, 2021, doi: 10.2337/dc21-S002.</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 Z. Xie, O. Nikolayeva, J. Luo, and D. Li, "Building risk prediction models for type 2 diabetes using machine learning techniques," Preventing Chronic Disease, vol. 16, p. E130, 2019, doi: 10.5888/pcd16.190109.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[4] A. Dinh, S. Miertschin, A. Young, and S. D. Mohanty, "A data-driven approach to predicting diabetes and cardiovascular disease with machine learning," BMC Medical Informatics and Decision Making, vol. 19, no. 1, p. 211, 2019, doi: 10.1186/s12911-019-0918-5.</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[5] N. P. Tigga and S. Garg, "Prediction of type 2 diabetes using machine learning classification methods," Procedia Computer Science, vol. 167, pp. 706-716, 2020, doi: 10.1016/j.procs.2020.03.336.</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[6] A. Rashid, "Diabetes dataset," Mendeley Data, V1, 2020, doi: 10.17632/wj9rwkp9c2.1.</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[7] E. Christodoulou, J. Ma, G. S. Collins, E. W. Steyerberg, J. Y. Verbakel, and B. Van Calster, "A systematic review shows no performance benefit of machine learning over logistic regression for clinical prediction models," Journal of Clinical Epidemiology, vol. 110, pp. 12-22, 2019, doi: 10.1016/j.jclinepi.2019.02.004.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[8] S. Kaufman, S. Rosset, C. Perlich, and O. Stitelman, "Leakage in data mining: Formulation, detection, and avoidance," ACM Transactions on Knowledge Discovery from Data (TKDD), vol. 6, no. 4, pp. 1-21, 2012, doi: 10.1145/2382577.2382579.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[9] S. Kapoor and A. Narayanan, "Leakage and the reproducibility crisis in machine-learning-based science," Patterns, vol. 4, no. 9, p. 100804, 2023, doi: 10.1016/j.patter.2023.100804.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[10] E. W. Steyerberg, Clinical Prediction Models: A Practical Approach to Development, Validation, and Updating, 2nd ed., ser. Statistics for Biology and Health. Cham, Switzerland: Springer, 2019, doi: 10.1007/978-3-030-16399-0.</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[11] B. Van Calster, D. J. McLernon, M. van Smeden, L. Wynants, and E. W. Steyerberg, "Calibration: The Achilles heel of predictive analytics," BMC Medicine, vol. 17, no. 1, p. 230, 2019, doi: 10.1186/s12916-019-1466-7.</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[12] A. Niculescu-Mizil and R. Caruana, "Predicting good probabilities with supervised learning," in Proc. 22nd Int. Conf. on Machine Learning (ICML), 2005, pp. 625-632, doi: 10.1145/1102351.1102430.</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[13] C. Guo, G. Pleiss, Y. Sun, and K. Q. Weinberger, "On calibration of modern neural networks," in Proc. 34th Int. Conf. on Machine Learning (ICML), ser. PMLR, vol. 70, 2017, pp. 1321-1330.</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[14] S. M. Lundberg and S.-I. Lee, "A unified approach to interpreting model predictions," in Advances in Neural Information Processing Systems (NeurIPS), vol. 30, 2017, pp. 4765-4774.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[15] S. M. Lundberg, G. Erion, H. Chen, A. DeGrave, J. M. Prutkin, B. Nair, R. Katz, J. Himmelfarb, N. Bansal, and S.-I. Lee, "From local explanations to global understanding with explainable AI for trees," Nature Machine Intelligence, vol. 2, no. 1, pp. 56-67, 2020, doi: 10.1038/s42256-019-0138-9.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[16] M. T. Ribeiro, S. Singh, and C. Guestrin, ""why should I trust you?": Explaining the predictions of any classifier," in Proc. 22nd ACM SIGKDD Int. Conf. on Knowledge Discovery and Data Mining, 2016, pp. 1135-1144, doi: 10.1145/2939672.2939778.</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[17] C. Rudin, "Stop explaining black box machine learning models for high stakes decisions and use interpretable models instead," Nature Machine Intelligence, vol. 1, no. 5, pp. 206-215, 2019, doi: 10.1038/s42256-019-0048-x.</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[18] R. Caruana, Y. Lou, J. Gehrke, P. Koch, M. Sturm, and N. Elhadad, "Intelligible models for healthcare: Predicting pneumonia risk and hospital 30-day readmission," in Proc. 21st ACM SIGKDD Int. Conf. on Knowledge Discovery and Data Mining, 2015, pp. 1721-1730, doi: 10.1145/2783258.2788613.</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[19] M. Ghassemi, L. Oakden-Rayner, and A. L. Beam, "The false hope of current approaches to explainable artificial intelligence in health care," The Lancet Digital Health, vol. 3, no. 11, pp. e745-e750, 2021, doi: 10.1016/S2589-7500(21)00208-9.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[20] T. Saito and M. Rehmsmeier, "The precision-recall plot is more informative than the ROC plot when evaluating binary classifiers on imbalanced datasets," PLoS ONE, vol. 10, no. 3, p. e0118432, 2015, doi: 10.1371/journal.pone.0118432.</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[21] H. He and E. A. Garcia, "Learning from imbalanced data," IEEE Transactions on Knowledge and Data Engineering, vol. 21, no. 9, pp. 1263-1284, 2009, doi: 10.1109/TKDE.2008.239.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[22] D. Chicco and G. Jurman, "The advantages of the Matthews correlation coefficient (MCC) over F1 score and accuracy in binary classification evaluation," BMC Genomics, vol. 21, no. 1, p. 6, 2020, doi: 10.1186/s12864-019-6413-7.</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[23] A. Teboul, "Diabetes health indicators dataset," Kaggle, 2021, derived from the CDC Behavioral Risk Factor Surveillance System (BRFSS) 2015. [Online]. Available: https://www.kaggle.com/datasets/alexteboul/diabetes-health-indicators-dataset.</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[24] Centers for Disease Control and Prevention, "Behavioral risk factor surveillance system (brfss) 2015 survey data and documentation," U.S. Department of Health and Human Services, CDC, Tech. Rep., 2015.</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[25] F. Pedregosa, G. Varoquaux, A. Gramfort, V. Michel, B. Thirion, O. Grisel, M. Blondel, P. Prettenhofer, R. Weiss, V. Dubourg, J. Vanderplas, A. Passos, D. Cournapeau, M. Brucher, M. Perrot, and É. Duchesnay, "Scikit-learn: Machine learning in Python," Journal of Machine Learning Research, vol. 12, pp. 2825-2830, 2011.</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[26] L. Breiman, "Random forests," Machine Learning, vol. 45, no. 1, pp. 5-32, 2001, doi: 10.1023/A:1010933404324.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[27] J. H. Friedman, "Greedy function approximation: A gradient boosting machine," Annals of Statistics, vol. 29, no. 5, pp. 1189-1232, 2001, doi: 10.1214/aos/1013203451.</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[28] T. Chen and C. Guestrin, "XGBoost: A scalable tree boosting system," in Proc. 22nd ACM SIGKDD Int. Conf. on Knowledge Discovery and Data Mining (KDD), 2016, pp. 785-794, doi: 10.1145/2939672.2939785.</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[29] G. Ke, Q. Meng, T. Finley, T. Wang, W. Chen, W. Ma, Q. Ye, and T.-Y. Liu, "LightGBM: A highly efficient gradient boosting decision tree," in Advances in Neural Information Processing Systems (NeurIPS), vol. 30, 2017, pp. 3146-3154.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[30] T. Cover and P. Hart, "Nearest neighbor pattern classification," IEEE Transactions on Information Theory, vol. 13, no. 1, pp. 21-27, 1967, doi: 10.1109/TIT.1967.1053964.</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[31] C. Cortes and V. Vapnik, "Support-vector networks," Machine Learning, vol. 20, no. 3, pp. 273-297, 1995, doi: 10.1007/BF00994018.</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[32] J. Demšar, "Statistical comparisons of classifiers over multiple data sets," Journal of Machine Learning Research, vol. 7, pp. 1-30, 2006.</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[33] N. A. ElSayed et al., "2. classification and diagnosis of diabetes: Standards of care in diabetes - 2023," Diabetes Care, vol. 46, no. Supplement 1, pp. S19-S40, 2023, doi: 10.2337/dc23-S002.</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[34] I. Tasin, T. U. Nabil, S. Islam, and R. Khan, "Diabetes prediction using machine learning and explainable AI techniques," Healthcare Technology Letters, vol. 10, no. 1-2, pp. 1-10, 2023, doi: 10.1049/htl2.12039.</w:t>
      </w:r>
    </w:p>
    <w:p>
      <w:pPr>
        <w:keepNext w:val="0"/>
        <w:tabs>
          <w:tab w:val="left" w:pos="0"/>
        </w:tabs>
        <w:spacing w:after="24" w:line="240" w:lineRule="auto"/>
        <w:jc w:val="both"/>
        <w:rPr>
          <w:rFonts w:ascii="Times New Roman" w:hAnsi="Times New Roman"/>
          <w:bCs/>
          <w:sz w:val="24"/>
          <w:szCs w:val="24"/>
          <w:lang w:val="en-GB"/>
        </w:rPr>
      </w:pPr>
      <w:r>
        <w:rPr>
          <w:rFonts w:ascii="Times New Roman" w:hAnsi="Times New Roman" w:eastAsia="Times New Roman"/>
          <w:b w:val="0"/>
          <w:bCs/>
          <w:i w:val="0"/>
          <w:sz w:val="18"/>
          <w:szCs w:val="24"/>
          <w:lang w:val="en-GB"/>
        </w:rPr>
        <w:t>[35] G. S. Collins et al., "TRIPOD+AI statement: Updated guidance for reporting clinical prediction models that use regression or machine learning methods," BMJ, vol. 385, p. e078378, 2024, doi: 10.1136/bmj-2023-078378.</w:t>
      </w:r>
    </w:p>
    <w:sectPr w:rsidR="0035712E" w:rsidRPr="006E3B31" w:rsidSect="000C1314">
      <w:headerReference w:type="default" r:id="rId39"/>
      <w:footerReference w:type="default" r:id="rId40"/>
      <w:type w:val="continuous"/>
      <w:pgSz w:w="12240" w:h="18720" w:code="14"/>
      <w:pgMar w:top="1134" w:right="1134" w:bottom="1134" w:left="1134" w:header="902" w:footer="113" w:gutter="0"/>
      <w:cols w:num="2"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B3DDFB" w14:textId="77777777" w:rsidR="000D582E" w:rsidRDefault="000D582E" w:rsidP="006958DE">
      <w:pPr>
        <w:spacing w:after="0" w:line="240" w:lineRule="auto"/>
      </w:pPr>
      <w:r>
        <w:separator/>
      </w:r>
    </w:p>
  </w:endnote>
  <w:endnote w:type="continuationSeparator" w:id="0">
    <w:p w14:paraId="6291FB5C" w14:textId="77777777" w:rsidR="000D582E" w:rsidRDefault="000D582E" w:rsidP="00695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ak Pro Light">
    <w:charset w:val="00"/>
    <w:family w:val="swiss"/>
    <w:pitch w:val="variable"/>
    <w:sig w:usb0="8000002F" w:usb1="0000000A" w:usb2="00000000" w:usb3="00000000" w:csb0="0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3BCEC" w14:textId="1A887DC7" w:rsidR="00FE1AF6" w:rsidRDefault="00685060" w:rsidP="00FE1AF6">
    <w:pPr>
      <w:pStyle w:val="Piedepgina"/>
    </w:pPr>
    <w:r>
      <w:rPr>
        <w:noProof/>
        <w:lang w:eastAsia="es-MX"/>
      </w:rPr>
      <mc:AlternateContent>
        <mc:Choice Requires="wps">
          <w:drawing>
            <wp:anchor distT="0" distB="0" distL="114300" distR="114300" simplePos="0" relativeHeight="251662336" behindDoc="0" locked="0" layoutInCell="1" allowOverlap="1" wp14:anchorId="37BDBFC9" wp14:editId="54D8AEEF">
              <wp:simplePos x="0" y="0"/>
              <wp:positionH relativeFrom="column">
                <wp:posOffset>3307624</wp:posOffset>
              </wp:positionH>
              <wp:positionV relativeFrom="paragraph">
                <wp:posOffset>-486773</wp:posOffset>
              </wp:positionV>
              <wp:extent cx="3118667" cy="719455"/>
              <wp:effectExtent l="0" t="0" r="5715" b="4445"/>
              <wp:wrapNone/>
              <wp:docPr id="30" name="61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8667" cy="719455"/>
                      </a:xfrm>
                      <a:prstGeom prst="rect">
                        <a:avLst/>
                      </a:prstGeom>
                      <a:solidFill>
                        <a:sysClr val="window" lastClr="FFFFFF"/>
                      </a:solidFill>
                      <a:ln w="6350">
                        <a:noFill/>
                      </a:ln>
                      <a:effectLst/>
                    </wps:spPr>
                    <wps:txbx>
                      <w:txbxContent>
                        <w:p w14:paraId="3005C4FF" w14:textId="39367F10" w:rsidR="0011181B" w:rsidRPr="001B78C6" w:rsidRDefault="0011181B" w:rsidP="0011181B">
                          <w:pPr>
                            <w:spacing w:after="0" w:line="240" w:lineRule="auto"/>
                            <w:jc w:val="both"/>
                            <w:rPr>
                              <w:rFonts w:ascii="Times New Roman" w:hAnsi="Times New Roman"/>
                              <w:sz w:val="16"/>
                              <w:szCs w:val="16"/>
                              <w:lang w:val="en-GB"/>
                            </w:rPr>
                          </w:pPr>
                          <w:r w:rsidRPr="0011181B">
                            <w:rPr>
                              <w:rFonts w:ascii="Times New Roman" w:hAnsi="Times New Roman"/>
                              <w:iCs/>
                              <w:sz w:val="16"/>
                              <w:szCs w:val="16"/>
                              <w:lang w:val="en-GB"/>
                            </w:rPr>
                            <w:t xml:space="preserve">Surname, Name 1st Author, Surname, Name 1st Co-author, Surname, Name 2nd Co-author and Surname, Name 3rd Co-author. </w:t>
                          </w:r>
                          <w:r w:rsidR="006E3B31">
                            <w:rPr>
                              <w:rFonts w:ascii="Times New Roman" w:hAnsi="Times New Roman"/>
                              <w:iCs/>
                              <w:sz w:val="16"/>
                              <w:szCs w:val="16"/>
                              <w:lang w:val="en-GB"/>
                            </w:rPr>
                            <w:t>Article</w:t>
                          </w:r>
                          <w:r w:rsidRPr="0011181B">
                            <w:rPr>
                              <w:rFonts w:ascii="Times New Roman" w:hAnsi="Times New Roman"/>
                              <w:iCs/>
                              <w:sz w:val="16"/>
                              <w:szCs w:val="16"/>
                              <w:lang w:val="en-GB"/>
                            </w:rPr>
                            <w:t xml:space="preserve"> Title. ECORFAN Journal-Mexico. Year. V-</w:t>
                          </w:r>
                          <w:r w:rsidR="006E3B31" w:rsidRPr="0011181B">
                            <w:rPr>
                              <w:rFonts w:ascii="Times New Roman" w:hAnsi="Times New Roman"/>
                              <w:iCs/>
                              <w:sz w:val="16"/>
                              <w:szCs w:val="16"/>
                              <w:lang w:val="en-GB"/>
                            </w:rPr>
                            <w:t>N: Pages</w:t>
                          </w:r>
                          <w:r>
                            <w:rPr>
                              <w:rFonts w:ascii="Times New Roman" w:hAnsi="Times New Roman"/>
                              <w:iCs/>
                              <w:sz w:val="16"/>
                              <w:szCs w:val="16"/>
                              <w:lang w:val="en-GB"/>
                            </w:rPr>
                            <w:t xml:space="preserve"> </w:t>
                          </w:r>
                          <w:r w:rsidR="00FE1AF6" w:rsidRPr="006958DE">
                            <w:rPr>
                              <w:rFonts w:ascii="Times New Roman" w:hAnsi="Times New Roman"/>
                              <w:iCs/>
                              <w:sz w:val="16"/>
                              <w:szCs w:val="16"/>
                              <w:lang w:val="en-GB"/>
                            </w:rPr>
                            <w:t>[Times New Roman No. 8]</w:t>
                          </w:r>
                          <w:r>
                            <w:rPr>
                              <w:rFonts w:ascii="Times New Roman" w:hAnsi="Times New Roman"/>
                              <w:sz w:val="16"/>
                              <w:szCs w:val="16"/>
                              <w:lang w:val="en-GB"/>
                            </w:rPr>
                            <w:t>.</w:t>
                          </w:r>
                          <w:r w:rsidR="006E3B31">
                            <w:rPr>
                              <w:rFonts w:ascii="Times New Roman" w:hAnsi="Times New Roman"/>
                              <w:sz w:val="16"/>
                              <w:szCs w:val="16"/>
                              <w:lang w:val="en-GB"/>
                            </w:rPr>
                            <w:t xml:space="preserve"> </w:t>
                          </w:r>
                          <w:r w:rsidRPr="0011181B">
                            <w:rPr>
                              <w:rFonts w:ascii="Times New Roman" w:hAnsi="Times New Roman"/>
                              <w:sz w:val="16"/>
                              <w:szCs w:val="16"/>
                              <w:lang w:val="en-GB"/>
                            </w:rPr>
                            <w:t xml:space="preserve">DOI: </w:t>
                          </w:r>
                          <w:hyperlink r:id="rId1" w:history="1">
                            <w:r w:rsidR="006E3B31" w:rsidRPr="00717A89">
                              <w:rPr>
                                <w:rStyle w:val="Hipervnculo"/>
                                <w:rFonts w:ascii="Times New Roman" w:hAnsi="Times New Roman"/>
                                <w:sz w:val="16"/>
                                <w:szCs w:val="16"/>
                                <w:lang w:val="en-GB"/>
                              </w:rPr>
                              <w:t>https://doi.org/10.35429/</w:t>
                            </w:r>
                          </w:hyperlink>
                          <w:r w:rsidR="006E3B31">
                            <w:rPr>
                              <w:rFonts w:ascii="Times New Roman" w:hAnsi="Times New Roman"/>
                              <w:sz w:val="16"/>
                              <w:szCs w:val="16"/>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BDBFC9" id="_x0000_t202" coordsize="21600,21600" o:spt="202" path="m,l,21600r21600,l21600,xe">
              <v:stroke joinstyle="miter"/>
              <v:path gradientshapeok="t" o:connecttype="rect"/>
            </v:shapetype>
            <v:shape id="61 Cuadro de texto" o:spid="_x0000_s1026" type="#_x0000_t202" style="position:absolute;margin-left:260.45pt;margin-top:-38.35pt;width:245.55pt;height:56.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" fillcolor="window" stroked="f" strokeweight=".5pt">
              <v:path arrowok="t"/>
              <v:textbox>
                <w:txbxContent>
                  <w:p w14:paraId="3005C4FF" w14:textId="39367F10" w:rsidR="0011181B" w:rsidRPr="001B78C6" w:rsidRDefault="0011181B" w:rsidP="0011181B">
                    <w:pPr>
                      <w:spacing w:after="0" w:line="240" w:lineRule="auto"/>
                      <w:jc w:val="both"/>
                      <w:rPr>
                        <w:rFonts w:ascii="Times New Roman" w:hAnsi="Times New Roman"/>
                        <w:sz w:val="16"/>
                        <w:szCs w:val="16"/>
                        <w:lang w:val="en-GB"/>
                      </w:rPr>
                    </w:pPr>
                    <w:r w:rsidRPr="0011181B">
                      <w:rPr>
                        <w:rFonts w:ascii="Times New Roman" w:hAnsi="Times New Roman"/>
                        <w:iCs/>
                        <w:sz w:val="16"/>
                        <w:szCs w:val="16"/>
                        <w:lang w:val="en-GB"/>
                      </w:rPr>
                      <w:t xml:space="preserve">Surname, Name 1st Author, Surname, Name 1st Co-author, Surname, Name 2nd Co-author and Surname, Name 3rd Co-author. </w:t>
                    </w:r>
                    <w:r w:rsidR="006E3B31">
                      <w:rPr>
                        <w:rFonts w:ascii="Times New Roman" w:hAnsi="Times New Roman"/>
                        <w:iCs/>
                        <w:sz w:val="16"/>
                        <w:szCs w:val="16"/>
                        <w:lang w:val="en-GB"/>
                      </w:rPr>
                      <w:t>Article</w:t>
                    </w:r>
                    <w:r w:rsidRPr="0011181B">
                      <w:rPr>
                        <w:rFonts w:ascii="Times New Roman" w:hAnsi="Times New Roman"/>
                        <w:iCs/>
                        <w:sz w:val="16"/>
                        <w:szCs w:val="16"/>
                        <w:lang w:val="en-GB"/>
                      </w:rPr>
                      <w:t xml:space="preserve"> Title. ECORFAN Journal-Mexico. Year. V-</w:t>
                    </w:r>
                    <w:r w:rsidR="006E3B31" w:rsidRPr="0011181B">
                      <w:rPr>
                        <w:rFonts w:ascii="Times New Roman" w:hAnsi="Times New Roman"/>
                        <w:iCs/>
                        <w:sz w:val="16"/>
                        <w:szCs w:val="16"/>
                        <w:lang w:val="en-GB"/>
                      </w:rPr>
                      <w:t>N: Pages</w:t>
                    </w:r>
                    <w:r>
                      <w:rPr>
                        <w:rFonts w:ascii="Times New Roman" w:hAnsi="Times New Roman"/>
                        <w:iCs/>
                        <w:sz w:val="16"/>
                        <w:szCs w:val="16"/>
                        <w:lang w:val="en-GB"/>
                      </w:rPr>
                      <w:t xml:space="preserve"> </w:t>
                    </w:r>
                    <w:r w:rsidR="00FE1AF6" w:rsidRPr="006958DE">
                      <w:rPr>
                        <w:rFonts w:ascii="Times New Roman" w:hAnsi="Times New Roman"/>
                        <w:iCs/>
                        <w:sz w:val="16"/>
                        <w:szCs w:val="16"/>
                        <w:lang w:val="en-GB"/>
                      </w:rPr>
                      <w:t>[Times New Roman No. 8]</w:t>
                    </w:r>
                    <w:r>
                      <w:rPr>
                        <w:rFonts w:ascii="Times New Roman" w:hAnsi="Times New Roman"/>
                        <w:sz w:val="16"/>
                        <w:szCs w:val="16"/>
                        <w:lang w:val="en-GB"/>
                      </w:rPr>
                      <w:t>.</w:t>
                    </w:r>
                    <w:r w:rsidR="006E3B31">
                      <w:rPr>
                        <w:rFonts w:ascii="Times New Roman" w:hAnsi="Times New Roman"/>
                        <w:sz w:val="16"/>
                        <w:szCs w:val="16"/>
                        <w:lang w:val="en-GB"/>
                      </w:rPr>
                      <w:t xml:space="preserve"> </w:t>
                    </w:r>
                    <w:r w:rsidRPr="0011181B">
                      <w:rPr>
                        <w:rFonts w:ascii="Times New Roman" w:hAnsi="Times New Roman"/>
                        <w:sz w:val="16"/>
                        <w:szCs w:val="16"/>
                        <w:lang w:val="en-GB"/>
                      </w:rPr>
                      <w:t xml:space="preserve">DOI: </w:t>
                    </w:r>
                    <w:hyperlink r:id="rId2" w:history="1">
                      <w:r w:rsidR="006E3B31" w:rsidRPr="00717A89">
                        <w:rPr>
                          <w:rStyle w:val="Hipervnculo"/>
                          <w:rFonts w:ascii="Times New Roman" w:hAnsi="Times New Roman"/>
                          <w:sz w:val="16"/>
                          <w:szCs w:val="16"/>
                          <w:lang w:val="en-GB"/>
                        </w:rPr>
                        <w:t>https://doi.org/10.35429/</w:t>
                      </w:r>
                    </w:hyperlink>
                    <w:r w:rsidR="006E3B31">
                      <w:rPr>
                        <w:rFonts w:ascii="Times New Roman" w:hAnsi="Times New Roman"/>
                        <w:sz w:val="16"/>
                        <w:szCs w:val="16"/>
                        <w:lang w:val="en-GB"/>
                      </w:rPr>
                      <w:t xml:space="preserve"> </w:t>
                    </w:r>
                  </w:p>
                </w:txbxContent>
              </v:textbox>
            </v:shape>
          </w:pict>
        </mc:Fallback>
      </mc:AlternateContent>
    </w:r>
    <w:r>
      <w:rPr>
        <w:noProof/>
        <w:lang w:eastAsia="es-MX"/>
      </w:rPr>
      <mc:AlternateContent>
        <mc:Choice Requires="wps">
          <w:drawing>
            <wp:anchor distT="0" distB="0" distL="114300" distR="114300" simplePos="0" relativeHeight="251661312" behindDoc="0" locked="0" layoutInCell="1" allowOverlap="1" wp14:anchorId="336FF16D" wp14:editId="0D99D15C">
              <wp:simplePos x="0" y="0"/>
              <wp:positionH relativeFrom="column">
                <wp:posOffset>-34290</wp:posOffset>
              </wp:positionH>
              <wp:positionV relativeFrom="paragraph">
                <wp:posOffset>-492216</wp:posOffset>
              </wp:positionV>
              <wp:extent cx="2983139" cy="719455"/>
              <wp:effectExtent l="0" t="0" r="8255" b="4445"/>
              <wp:wrapNone/>
              <wp:docPr id="26" name="4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3139" cy="719455"/>
                      </a:xfrm>
                      <a:prstGeom prst="rect">
                        <a:avLst/>
                      </a:prstGeom>
                      <a:solidFill>
                        <a:sysClr val="window" lastClr="FFFFFF"/>
                      </a:solidFill>
                      <a:ln w="6350">
                        <a:noFill/>
                      </a:ln>
                      <a:effectLst/>
                    </wps:spPr>
                    <wps:txbx>
                      <w:txbxContent>
                        <w:p w14:paraId="1F7361A4" w14:textId="58995A7E" w:rsidR="00FE1AF6" w:rsidRDefault="00FE1AF6"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 xml:space="preserve">ISSN: </w:t>
                          </w:r>
                          <w:r w:rsidR="006330D2" w:rsidRPr="0011181B">
                            <w:rPr>
                              <w:rFonts w:ascii="Times New Roman" w:hAnsi="Times New Roman"/>
                              <w:sz w:val="20"/>
                              <w:szCs w:val="20"/>
                              <w:lang w:val="en-GB"/>
                            </w:rPr>
                            <w:t>XXXX-XXXX.</w:t>
                          </w:r>
                        </w:p>
                        <w:p w14:paraId="239B82D6" w14:textId="5F9C53F0" w:rsidR="0011181B" w:rsidRPr="0011181B" w:rsidRDefault="0011181B"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REN</w:t>
                          </w:r>
                          <w:r>
                            <w:rPr>
                              <w:rFonts w:ascii="Times New Roman" w:hAnsi="Times New Roman"/>
                              <w:sz w:val="20"/>
                              <w:szCs w:val="20"/>
                              <w:lang w:val="en-GB"/>
                            </w:rPr>
                            <w:t>IECYT-</w:t>
                          </w:r>
                          <w:r w:rsidR="00A00A67" w:rsidRPr="00A00A67">
                            <w:t xml:space="preserve"> </w:t>
                          </w:r>
                          <w:r w:rsidR="00A00A67" w:rsidRPr="00A00A67">
                            <w:rPr>
                              <w:rFonts w:ascii="Times New Roman" w:hAnsi="Times New Roman"/>
                              <w:sz w:val="20"/>
                              <w:szCs w:val="20"/>
                              <w:lang w:val="en-GB"/>
                            </w:rPr>
                            <w:t>SECIHTI</w:t>
                          </w:r>
                          <w:r>
                            <w:rPr>
                              <w:rFonts w:ascii="Times New Roman" w:hAnsi="Times New Roman"/>
                              <w:sz w:val="20"/>
                              <w:szCs w:val="20"/>
                              <w:lang w:val="en-GB"/>
                            </w:rPr>
                            <w:t>: 1702902</w:t>
                          </w:r>
                        </w:p>
                        <w:p w14:paraId="2875A313" w14:textId="08D77D11" w:rsidR="00FE1AF6" w:rsidRPr="0011181B" w:rsidRDefault="00FE1AF6"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ECORFAN® All rights reserved</w:t>
                          </w:r>
                          <w:r w:rsidR="006330D2" w:rsidRPr="0011181B">
                            <w:rPr>
                              <w:rFonts w:ascii="Times New Roman" w:hAnsi="Times New Roman"/>
                              <w:sz w:val="20"/>
                              <w:szCs w:val="20"/>
                              <w:lang w:val="en-GB"/>
                            </w:rPr>
                            <w:t>.</w:t>
                          </w:r>
                        </w:p>
                        <w:p w14:paraId="1B497A8F" w14:textId="008C68A2" w:rsidR="006330D2" w:rsidRPr="0011181B" w:rsidRDefault="006330D2" w:rsidP="00FE1AF6">
                          <w:pPr>
                            <w:spacing w:after="0" w:line="240" w:lineRule="auto"/>
                            <w:rPr>
                              <w:sz w:val="24"/>
                              <w:szCs w:val="24"/>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36FF16D" id="46 Cuadro de texto" o:spid="_x0000_s1027" type="#_x0000_t202" style="position:absolute;margin-left:-2.7pt;margin-top:-38.75pt;width:234.9pt;height:5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" fillcolor="window" stroked="f" strokeweight=".5pt">
              <v:path arrowok="t"/>
              <v:textbox>
                <w:txbxContent>
                  <w:p w14:paraId="1F7361A4" w14:textId="58995A7E" w:rsidR="00FE1AF6" w:rsidRDefault="00FE1AF6"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 xml:space="preserve">ISSN: </w:t>
                    </w:r>
                    <w:r w:rsidR="006330D2" w:rsidRPr="0011181B">
                      <w:rPr>
                        <w:rFonts w:ascii="Times New Roman" w:hAnsi="Times New Roman"/>
                        <w:sz w:val="20"/>
                        <w:szCs w:val="20"/>
                        <w:lang w:val="en-GB"/>
                      </w:rPr>
                      <w:t>XXXX-XXXX.</w:t>
                    </w:r>
                  </w:p>
                  <w:p w14:paraId="239B82D6" w14:textId="5F9C53F0" w:rsidR="0011181B" w:rsidRPr="0011181B" w:rsidRDefault="0011181B"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REN</w:t>
                    </w:r>
                    <w:r>
                      <w:rPr>
                        <w:rFonts w:ascii="Times New Roman" w:hAnsi="Times New Roman"/>
                        <w:sz w:val="20"/>
                        <w:szCs w:val="20"/>
                        <w:lang w:val="en-GB"/>
                      </w:rPr>
                      <w:t>IECYT-</w:t>
                    </w:r>
                    <w:r w:rsidR="00A00A67" w:rsidRPr="00A00A67">
                      <w:t xml:space="preserve"> </w:t>
                    </w:r>
                    <w:r w:rsidR="00A00A67" w:rsidRPr="00A00A67">
                      <w:rPr>
                        <w:rFonts w:ascii="Times New Roman" w:hAnsi="Times New Roman"/>
                        <w:sz w:val="20"/>
                        <w:szCs w:val="20"/>
                        <w:lang w:val="en-GB"/>
                      </w:rPr>
                      <w:t>SECIHTI</w:t>
                    </w:r>
                    <w:r>
                      <w:rPr>
                        <w:rFonts w:ascii="Times New Roman" w:hAnsi="Times New Roman"/>
                        <w:sz w:val="20"/>
                        <w:szCs w:val="20"/>
                        <w:lang w:val="en-GB"/>
                      </w:rPr>
                      <w:t>: 1702902</w:t>
                    </w:r>
                  </w:p>
                  <w:p w14:paraId="2875A313" w14:textId="08D77D11" w:rsidR="00FE1AF6" w:rsidRPr="0011181B" w:rsidRDefault="00FE1AF6" w:rsidP="00FE1AF6">
                    <w:pPr>
                      <w:spacing w:after="0" w:line="240" w:lineRule="auto"/>
                      <w:rPr>
                        <w:rFonts w:ascii="Times New Roman" w:hAnsi="Times New Roman"/>
                        <w:sz w:val="20"/>
                        <w:szCs w:val="20"/>
                        <w:lang w:val="en-GB"/>
                      </w:rPr>
                    </w:pPr>
                    <w:r w:rsidRPr="0011181B">
                      <w:rPr>
                        <w:rFonts w:ascii="Times New Roman" w:hAnsi="Times New Roman"/>
                        <w:sz w:val="20"/>
                        <w:szCs w:val="20"/>
                        <w:lang w:val="en-GB"/>
                      </w:rPr>
                      <w:t>ECORFAN® All rights reserved</w:t>
                    </w:r>
                    <w:r w:rsidR="006330D2" w:rsidRPr="0011181B">
                      <w:rPr>
                        <w:rFonts w:ascii="Times New Roman" w:hAnsi="Times New Roman"/>
                        <w:sz w:val="20"/>
                        <w:szCs w:val="20"/>
                        <w:lang w:val="en-GB"/>
                      </w:rPr>
                      <w:t>.</w:t>
                    </w:r>
                  </w:p>
                  <w:p w14:paraId="1B497A8F" w14:textId="008C68A2" w:rsidR="006330D2" w:rsidRPr="0011181B" w:rsidRDefault="006330D2" w:rsidP="00FE1AF6">
                    <w:pPr>
                      <w:spacing w:after="0" w:line="240" w:lineRule="auto"/>
                      <w:rPr>
                        <w:sz w:val="24"/>
                        <w:szCs w:val="24"/>
                        <w:lang w:val="en-GB"/>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D85D8" w14:textId="77777777" w:rsidR="000D582E" w:rsidRDefault="000D582E" w:rsidP="006958DE">
      <w:pPr>
        <w:spacing w:after="0" w:line="240" w:lineRule="auto"/>
      </w:pPr>
      <w:r>
        <w:separator/>
      </w:r>
    </w:p>
  </w:footnote>
  <w:footnote w:type="continuationSeparator" w:id="0">
    <w:p w14:paraId="59586D42" w14:textId="77777777" w:rsidR="000D582E" w:rsidRDefault="000D582E" w:rsidP="00695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1498089"/>
      <w:docPartObj>
        <w:docPartGallery w:val="Page Numbers (Top of Page)"/>
        <w:docPartUnique/>
      </w:docPartObj>
    </w:sdtPr>
    <w:sdtEndPr/>
    <w:sdtContent>
      <w:p w14:paraId="5DEF65A1" w14:textId="77777777" w:rsidR="00172454" w:rsidRPr="00172454" w:rsidRDefault="00172454" w:rsidP="00172454">
        <w:pPr>
          <w:pStyle w:val="Encabezado"/>
          <w:rPr>
            <w:rFonts w:ascii="Times New Roman" w:hAnsi="Times New Roman"/>
            <w:sz w:val="24"/>
            <w:szCs w:val="24"/>
            <w:lang w:val="en-GB"/>
          </w:rPr>
        </w:pPr>
      </w:p>
      <w:p w14:paraId="441AA961" w14:textId="402FA9DA" w:rsidR="00172454" w:rsidRPr="00685060" w:rsidRDefault="00172454" w:rsidP="00172454">
        <w:pPr>
          <w:pStyle w:val="Encabezado"/>
          <w:jc w:val="both"/>
          <w:rPr>
            <w:rFonts w:ascii="Times New Roman" w:hAnsi="Times New Roman"/>
            <w:lang w:val="en-GB"/>
          </w:rPr>
        </w:pPr>
        <w:r w:rsidRPr="00685060">
          <w:rPr>
            <w:rFonts w:ascii="Times New Roman" w:hAnsi="Times New Roman"/>
            <w:b/>
            <w:sz w:val="28"/>
            <w:szCs w:val="28"/>
            <w:lang w:val="en-GB"/>
          </w:rPr>
          <w:t>ECORFAN Journal</w:t>
        </w:r>
        <w:r>
          <w:rPr>
            <w:rFonts w:ascii="Times New Roman" w:hAnsi="Times New Roman"/>
            <w:lang w:val="en-GB"/>
          </w:rPr>
          <w:tab/>
        </w:r>
        <w:r>
          <w:rPr>
            <w:rFonts w:ascii="Times New Roman" w:hAnsi="Times New Roman"/>
            <w:lang w:val="en-GB"/>
          </w:rPr>
          <w:tab/>
          <w:t xml:space="preserve">              </w:t>
        </w:r>
        <w:r w:rsidRPr="00007613">
          <w:rPr>
            <w:rStyle w:val="hps"/>
            <w:rFonts w:ascii="Times New Roman" w:hAnsi="Times New Roman"/>
            <w:lang w:val="en-GB"/>
          </w:rPr>
          <w:t>Month</w:t>
        </w:r>
        <w:r w:rsidRPr="00007613">
          <w:rPr>
            <w:rFonts w:ascii="Times New Roman" w:hAnsi="Times New Roman"/>
            <w:sz w:val="24"/>
            <w:szCs w:val="24"/>
            <w:lang w:val="en-GB"/>
          </w:rPr>
          <w:t xml:space="preserve">, </w:t>
        </w:r>
        <w:r>
          <w:rPr>
            <w:rFonts w:ascii="Times New Roman" w:hAnsi="Times New Roman"/>
            <w:sz w:val="24"/>
            <w:szCs w:val="24"/>
            <w:lang w:val="en-GB"/>
          </w:rPr>
          <w:t>Year</w:t>
        </w:r>
        <w:r w:rsidRPr="00007613">
          <w:rPr>
            <w:rFonts w:ascii="Times New Roman" w:hAnsi="Times New Roman"/>
            <w:sz w:val="24"/>
            <w:szCs w:val="24"/>
            <w:lang w:val="en-GB"/>
          </w:rPr>
          <w:t xml:space="preserve"> Vol.1 No.1 1-15</w:t>
        </w:r>
        <w:proofErr w:type="gramStart"/>
        <w:r w:rsidRPr="00007613">
          <w:rPr>
            <w:rFonts w:ascii="Times New Roman" w:hAnsi="Times New Roman"/>
            <w:sz w:val="24"/>
            <w:szCs w:val="24"/>
            <w:lang w:val="en-GB"/>
          </w:rPr>
          <w:t>-[</w:t>
        </w:r>
        <w:proofErr w:type="gramEnd"/>
        <w:r w:rsidRPr="00007613">
          <w:rPr>
            <w:rStyle w:val="hps"/>
            <w:rFonts w:ascii="Times New Roman" w:hAnsi="Times New Roman"/>
            <w:lang w:val="en-GB"/>
          </w:rPr>
          <w:t xml:space="preserve">Using </w:t>
        </w:r>
        <w:r w:rsidRPr="00007613">
          <w:rPr>
            <w:rFonts w:ascii="Times New Roman" w:hAnsi="Times New Roman"/>
            <w:sz w:val="24"/>
            <w:szCs w:val="24"/>
            <w:lang w:val="en-GB"/>
          </w:rPr>
          <w:t>ECORFAN]</w:t>
        </w:r>
      </w:p>
      <w:p w14:paraId="4DE0CA8D" w14:textId="7674DE98" w:rsidR="00172454" w:rsidRDefault="00B27943" w:rsidP="00685060">
        <w:pPr>
          <w:pStyle w:val="Encabezado"/>
          <w:tabs>
            <w:tab w:val="left" w:pos="5529"/>
          </w:tabs>
          <w:jc w:val="both"/>
          <w:rPr>
            <w:rFonts w:ascii="Times New Roman" w:hAnsi="Times New Roman"/>
            <w:sz w:val="24"/>
            <w:szCs w:val="24"/>
            <w:lang w:val="en-GB"/>
          </w:rPr>
        </w:pPr>
        <w:r w:rsidRPr="00B27943">
          <w:rPr>
            <w:rFonts w:ascii="Times New Roman" w:hAnsi="Times New Roman"/>
            <w:b/>
            <w:noProof/>
            <w:sz w:val="32"/>
            <w:szCs w:val="32"/>
            <w:lang w:eastAsia="es-MX"/>
          </w:rPr>
          <mc:AlternateContent>
            <mc:Choice Requires="wps">
              <w:drawing>
                <wp:anchor distT="4294967295" distB="4294967295" distL="114300" distR="114300" simplePos="0" relativeHeight="251664384" behindDoc="0" locked="0" layoutInCell="1" allowOverlap="1" wp14:anchorId="51080EF8" wp14:editId="3BA2925E">
                  <wp:simplePos x="0" y="0"/>
                  <wp:positionH relativeFrom="column">
                    <wp:posOffset>3175</wp:posOffset>
                  </wp:positionH>
                  <wp:positionV relativeFrom="paragraph">
                    <wp:posOffset>5715</wp:posOffset>
                  </wp:positionV>
                  <wp:extent cx="6300000" cy="0"/>
                  <wp:effectExtent l="0" t="0" r="0" b="0"/>
                  <wp:wrapNone/>
                  <wp:docPr id="31"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0000"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A5A7D16" id="3 Conector recto"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45pt" to="496.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" strokeweight="1pt">
                  <o:lock v:ext="edit" shapetype="f"/>
                </v:line>
              </w:pict>
            </mc:Fallback>
          </mc:AlternateContent>
        </w:r>
        <w:r w:rsidR="00172454">
          <w:rPr>
            <w:rFonts w:ascii="Times New Roman" w:hAnsi="Times New Roman"/>
            <w:sz w:val="24"/>
            <w:szCs w:val="24"/>
            <w:lang w:val="en-GB"/>
          </w:rPr>
          <w:t>Article</w:t>
        </w:r>
      </w:p>
      <w:p w14:paraId="1AD8B5A3" w14:textId="36A9EC77" w:rsidR="00172454" w:rsidRPr="00172454" w:rsidRDefault="00172454" w:rsidP="00172454">
        <w:pPr>
          <w:pStyle w:val="Encabezado"/>
          <w:jc w:val="both"/>
          <w:rPr>
            <w:rFonts w:ascii="Times New Roman" w:hAnsi="Times New Roman"/>
            <w:sz w:val="24"/>
            <w:szCs w:val="24"/>
            <w:lang w:val="en-GB"/>
          </w:rPr>
        </w:pPr>
        <w:r>
          <w:rPr>
            <w:rFonts w:ascii="Times New Roman" w:hAnsi="Times New Roman"/>
            <w:sz w:val="24"/>
            <w:szCs w:val="24"/>
            <w:lang w:val="en-GB"/>
          </w:rPr>
          <w:t xml:space="preserve">   </w:t>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0282747"/>
      <w:docPartObj>
        <w:docPartGallery w:val="Page Numbers (Top of Page)"/>
        <w:docPartUnique/>
      </w:docPartObj>
    </w:sdtPr>
    <w:sdtEndPr/>
    <w:sdtContent>
      <w:p w14:paraId="0EB5B88A" w14:textId="77777777" w:rsidR="00685060" w:rsidRPr="00172454" w:rsidRDefault="00685060" w:rsidP="00685060">
        <w:pPr>
          <w:pStyle w:val="Encabezado"/>
          <w:rPr>
            <w:rFonts w:ascii="Times New Roman" w:hAnsi="Times New Roman"/>
            <w:sz w:val="24"/>
            <w:szCs w:val="24"/>
            <w:lang w:val="en-GB"/>
          </w:rPr>
        </w:pPr>
      </w:p>
      <w:p w14:paraId="6C754D16" w14:textId="26D4EAB2" w:rsidR="00685060" w:rsidRPr="00685060" w:rsidRDefault="00685060" w:rsidP="00685060">
        <w:pPr>
          <w:pStyle w:val="Encabezado"/>
          <w:jc w:val="both"/>
          <w:rPr>
            <w:rFonts w:ascii="Times New Roman" w:hAnsi="Times New Roman"/>
            <w:lang w:val="en-GB"/>
          </w:rPr>
        </w:pPr>
        <w:r w:rsidRPr="00685060">
          <w:rPr>
            <w:rFonts w:ascii="Times New Roman" w:hAnsi="Times New Roman"/>
            <w:b/>
            <w:sz w:val="28"/>
            <w:szCs w:val="28"/>
            <w:lang w:val="en-GB"/>
          </w:rPr>
          <w:t>ECORFAN Journal</w:t>
        </w:r>
        <w:r>
          <w:rPr>
            <w:rFonts w:ascii="Times New Roman" w:hAnsi="Times New Roman"/>
            <w:lang w:val="en-GB"/>
          </w:rPr>
          <w:tab/>
        </w:r>
        <w:r>
          <w:rPr>
            <w:rFonts w:ascii="Times New Roman" w:hAnsi="Times New Roman"/>
            <w:lang w:val="en-GB"/>
          </w:rPr>
          <w:tab/>
          <w:t xml:space="preserve">              </w:t>
        </w:r>
        <w:r w:rsidRPr="00007613">
          <w:rPr>
            <w:rStyle w:val="hps"/>
            <w:rFonts w:ascii="Times New Roman" w:hAnsi="Times New Roman"/>
            <w:lang w:val="en-GB"/>
          </w:rPr>
          <w:t>Month</w:t>
        </w:r>
        <w:r w:rsidRPr="00007613">
          <w:rPr>
            <w:rFonts w:ascii="Times New Roman" w:hAnsi="Times New Roman"/>
            <w:sz w:val="24"/>
            <w:szCs w:val="24"/>
            <w:lang w:val="en-GB"/>
          </w:rPr>
          <w:t xml:space="preserve">, </w:t>
        </w:r>
        <w:r>
          <w:rPr>
            <w:rFonts w:ascii="Times New Roman" w:hAnsi="Times New Roman"/>
            <w:sz w:val="24"/>
            <w:szCs w:val="24"/>
            <w:lang w:val="en-GB"/>
          </w:rPr>
          <w:t>Year</w:t>
        </w:r>
        <w:r w:rsidRPr="00007613">
          <w:rPr>
            <w:rFonts w:ascii="Times New Roman" w:hAnsi="Times New Roman"/>
            <w:sz w:val="24"/>
            <w:szCs w:val="24"/>
            <w:lang w:val="en-GB"/>
          </w:rPr>
          <w:t xml:space="preserve"> Vol.1 No.1 1-15</w:t>
        </w:r>
        <w:proofErr w:type="gramStart"/>
        <w:r w:rsidRPr="00007613">
          <w:rPr>
            <w:rFonts w:ascii="Times New Roman" w:hAnsi="Times New Roman"/>
            <w:sz w:val="24"/>
            <w:szCs w:val="24"/>
            <w:lang w:val="en-GB"/>
          </w:rPr>
          <w:t>-[</w:t>
        </w:r>
        <w:proofErr w:type="gramEnd"/>
        <w:r w:rsidRPr="00007613">
          <w:rPr>
            <w:rStyle w:val="hps"/>
            <w:rFonts w:ascii="Times New Roman" w:hAnsi="Times New Roman"/>
            <w:lang w:val="en-GB"/>
          </w:rPr>
          <w:t xml:space="preserve">Using </w:t>
        </w:r>
        <w:r w:rsidRPr="00007613">
          <w:rPr>
            <w:rFonts w:ascii="Times New Roman" w:hAnsi="Times New Roman"/>
            <w:sz w:val="24"/>
            <w:szCs w:val="24"/>
            <w:lang w:val="en-GB"/>
          </w:rPr>
          <w:t>ECORFAN]</w:t>
        </w:r>
      </w:p>
      <w:p w14:paraId="660AC75B" w14:textId="77777777" w:rsidR="00685060" w:rsidRDefault="00685060" w:rsidP="00685060">
        <w:pPr>
          <w:pStyle w:val="Encabezado"/>
          <w:tabs>
            <w:tab w:val="left" w:pos="5529"/>
          </w:tabs>
          <w:jc w:val="both"/>
          <w:rPr>
            <w:rFonts w:ascii="Times New Roman" w:hAnsi="Times New Roman"/>
            <w:sz w:val="24"/>
            <w:szCs w:val="24"/>
            <w:lang w:val="en-GB"/>
          </w:rPr>
        </w:pPr>
        <w:r w:rsidRPr="00B27943">
          <w:rPr>
            <w:rFonts w:ascii="Times New Roman" w:hAnsi="Times New Roman"/>
            <w:b/>
            <w:noProof/>
            <w:sz w:val="32"/>
            <w:szCs w:val="32"/>
            <w:lang w:eastAsia="es-MX"/>
          </w:rPr>
          <mc:AlternateContent>
            <mc:Choice Requires="wps">
              <w:drawing>
                <wp:anchor distT="4294967295" distB="4294967295" distL="114300" distR="114300" simplePos="0" relativeHeight="251666432" behindDoc="0" locked="0" layoutInCell="1" allowOverlap="1" wp14:anchorId="2E94702F" wp14:editId="0FA08AA7">
                  <wp:simplePos x="0" y="0"/>
                  <wp:positionH relativeFrom="column">
                    <wp:posOffset>3175</wp:posOffset>
                  </wp:positionH>
                  <wp:positionV relativeFrom="paragraph">
                    <wp:posOffset>5715</wp:posOffset>
                  </wp:positionV>
                  <wp:extent cx="6300000" cy="0"/>
                  <wp:effectExtent l="0" t="0" r="0" b="0"/>
                  <wp:wrapNone/>
                  <wp:docPr id="626834831"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0000"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BAFCC5D" id="3 Conector recto"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45pt" to="496.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" strokeweight="1pt">
                  <o:lock v:ext="edit" shapetype="f"/>
                </v:line>
              </w:pict>
            </mc:Fallback>
          </mc:AlternateContent>
        </w:r>
        <w:r>
          <w:rPr>
            <w:rFonts w:ascii="Times New Roman" w:hAnsi="Times New Roman"/>
            <w:sz w:val="24"/>
            <w:szCs w:val="24"/>
            <w:lang w:val="en-GB"/>
          </w:rPr>
          <w:t>Article</w:t>
        </w:r>
      </w:p>
      <w:p w14:paraId="67FDA55B" w14:textId="15E75093" w:rsidR="00347D82" w:rsidRPr="00685060" w:rsidRDefault="000D582E" w:rsidP="00685060">
        <w:pPr>
          <w:pStyle w:val="Encabezado"/>
          <w:tabs>
            <w:tab w:val="left" w:pos="5529"/>
          </w:tabs>
          <w:jc w:val="both"/>
          <w:rPr>
            <w:rFonts w:ascii="Times New Roman" w:hAnsi="Times New Roman"/>
            <w:sz w:val="24"/>
            <w:szCs w:val="24"/>
            <w:lang w:val="en-GB"/>
          </w:rPr>
        </w:pP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A1D77"/>
    <w:multiLevelType w:val="hybridMultilevel"/>
    <w:tmpl w:val="135064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0552CFB"/>
    <w:multiLevelType w:val="hybridMultilevel"/>
    <w:tmpl w:val="896A2C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5C2186"/>
    <w:multiLevelType w:val="hybridMultilevel"/>
    <w:tmpl w:val="9CF4DBA2"/>
    <w:lvl w:ilvl="0" w:tplc="24FC5160">
      <w:start w:val="1"/>
      <w:numFmt w:val="bullet"/>
      <w:lvlText w:val="-"/>
      <w:lvlJc w:val="left"/>
      <w:pPr>
        <w:ind w:left="720" w:hanging="360"/>
      </w:pPr>
      <w:rPr>
        <w:rFonts w:ascii="Speak Pro Light" w:hAnsi="Speak Pro Light"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EC17857"/>
    <w:multiLevelType w:val="hybridMultilevel"/>
    <w:tmpl w:val="981C027C"/>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8DE"/>
    <w:rsid w:val="000120EF"/>
    <w:rsid w:val="0003782F"/>
    <w:rsid w:val="00055993"/>
    <w:rsid w:val="0008320A"/>
    <w:rsid w:val="000A0FC5"/>
    <w:rsid w:val="000C1314"/>
    <w:rsid w:val="000C776E"/>
    <w:rsid w:val="000D582E"/>
    <w:rsid w:val="0010285B"/>
    <w:rsid w:val="0011181B"/>
    <w:rsid w:val="00143F65"/>
    <w:rsid w:val="00154420"/>
    <w:rsid w:val="00172454"/>
    <w:rsid w:val="001A083E"/>
    <w:rsid w:val="001A1C46"/>
    <w:rsid w:val="001D62BA"/>
    <w:rsid w:val="001E5DD8"/>
    <w:rsid w:val="0024289B"/>
    <w:rsid w:val="002478FC"/>
    <w:rsid w:val="00252090"/>
    <w:rsid w:val="002606EB"/>
    <w:rsid w:val="002A6CBA"/>
    <w:rsid w:val="002B2CDB"/>
    <w:rsid w:val="002E10C1"/>
    <w:rsid w:val="002F02D1"/>
    <w:rsid w:val="00340BD8"/>
    <w:rsid w:val="00347985"/>
    <w:rsid w:val="00347D82"/>
    <w:rsid w:val="0035004B"/>
    <w:rsid w:val="0035712E"/>
    <w:rsid w:val="003649A4"/>
    <w:rsid w:val="00364F2B"/>
    <w:rsid w:val="00377B94"/>
    <w:rsid w:val="003A06DD"/>
    <w:rsid w:val="003A3F3D"/>
    <w:rsid w:val="003B7E57"/>
    <w:rsid w:val="003D745B"/>
    <w:rsid w:val="003E1543"/>
    <w:rsid w:val="00405B7E"/>
    <w:rsid w:val="00410D62"/>
    <w:rsid w:val="00414AB7"/>
    <w:rsid w:val="00433C04"/>
    <w:rsid w:val="00463E27"/>
    <w:rsid w:val="00473764"/>
    <w:rsid w:val="004922BC"/>
    <w:rsid w:val="004A624A"/>
    <w:rsid w:val="004B0533"/>
    <w:rsid w:val="004C7445"/>
    <w:rsid w:val="004D0E2D"/>
    <w:rsid w:val="004D40B8"/>
    <w:rsid w:val="004F074F"/>
    <w:rsid w:val="004F729C"/>
    <w:rsid w:val="00565A7D"/>
    <w:rsid w:val="00566105"/>
    <w:rsid w:val="00566E4A"/>
    <w:rsid w:val="005764F4"/>
    <w:rsid w:val="00585916"/>
    <w:rsid w:val="00592A83"/>
    <w:rsid w:val="005B0A35"/>
    <w:rsid w:val="005D09C2"/>
    <w:rsid w:val="005D1D43"/>
    <w:rsid w:val="005F5706"/>
    <w:rsid w:val="005F57D9"/>
    <w:rsid w:val="00605996"/>
    <w:rsid w:val="00615D1A"/>
    <w:rsid w:val="00621A1A"/>
    <w:rsid w:val="006330D2"/>
    <w:rsid w:val="00637DA4"/>
    <w:rsid w:val="006636C4"/>
    <w:rsid w:val="006643E1"/>
    <w:rsid w:val="00685060"/>
    <w:rsid w:val="006958DE"/>
    <w:rsid w:val="006A4E0E"/>
    <w:rsid w:val="006C1901"/>
    <w:rsid w:val="006C48B2"/>
    <w:rsid w:val="006E2E05"/>
    <w:rsid w:val="006E3B31"/>
    <w:rsid w:val="00713914"/>
    <w:rsid w:val="00722B44"/>
    <w:rsid w:val="0072687E"/>
    <w:rsid w:val="00766642"/>
    <w:rsid w:val="00783A45"/>
    <w:rsid w:val="007957D1"/>
    <w:rsid w:val="007B091A"/>
    <w:rsid w:val="007D5529"/>
    <w:rsid w:val="007E55C7"/>
    <w:rsid w:val="007F6DDC"/>
    <w:rsid w:val="00817963"/>
    <w:rsid w:val="00820EF0"/>
    <w:rsid w:val="008570D0"/>
    <w:rsid w:val="00870418"/>
    <w:rsid w:val="008A0405"/>
    <w:rsid w:val="008A308C"/>
    <w:rsid w:val="008A66ED"/>
    <w:rsid w:val="008B3FF2"/>
    <w:rsid w:val="008C05FC"/>
    <w:rsid w:val="008D1E30"/>
    <w:rsid w:val="00906D36"/>
    <w:rsid w:val="009138EC"/>
    <w:rsid w:val="00934A46"/>
    <w:rsid w:val="00940E28"/>
    <w:rsid w:val="009416CF"/>
    <w:rsid w:val="009448C0"/>
    <w:rsid w:val="00982F95"/>
    <w:rsid w:val="009964CB"/>
    <w:rsid w:val="009C54BA"/>
    <w:rsid w:val="00A00A67"/>
    <w:rsid w:val="00A228CA"/>
    <w:rsid w:val="00A61F58"/>
    <w:rsid w:val="00A70C20"/>
    <w:rsid w:val="00A9639F"/>
    <w:rsid w:val="00AA51E1"/>
    <w:rsid w:val="00AD1C69"/>
    <w:rsid w:val="00AD6BA2"/>
    <w:rsid w:val="00AF444A"/>
    <w:rsid w:val="00B01A77"/>
    <w:rsid w:val="00B068B9"/>
    <w:rsid w:val="00B16C40"/>
    <w:rsid w:val="00B23DAA"/>
    <w:rsid w:val="00B268C3"/>
    <w:rsid w:val="00B27943"/>
    <w:rsid w:val="00B3451D"/>
    <w:rsid w:val="00B41728"/>
    <w:rsid w:val="00B52812"/>
    <w:rsid w:val="00BA7B7F"/>
    <w:rsid w:val="00BB6835"/>
    <w:rsid w:val="00BC2ACA"/>
    <w:rsid w:val="00BD1620"/>
    <w:rsid w:val="00C0136D"/>
    <w:rsid w:val="00C02C52"/>
    <w:rsid w:val="00C132D4"/>
    <w:rsid w:val="00C2418B"/>
    <w:rsid w:val="00C46AEF"/>
    <w:rsid w:val="00C63542"/>
    <w:rsid w:val="00C6378A"/>
    <w:rsid w:val="00C931CD"/>
    <w:rsid w:val="00CA5FF5"/>
    <w:rsid w:val="00CB1A84"/>
    <w:rsid w:val="00CC2E8F"/>
    <w:rsid w:val="00CC77D9"/>
    <w:rsid w:val="00D00AE3"/>
    <w:rsid w:val="00D05126"/>
    <w:rsid w:val="00D13A01"/>
    <w:rsid w:val="00D15B18"/>
    <w:rsid w:val="00D265E7"/>
    <w:rsid w:val="00D41C71"/>
    <w:rsid w:val="00D67103"/>
    <w:rsid w:val="00D760A7"/>
    <w:rsid w:val="00D9413D"/>
    <w:rsid w:val="00DA20E3"/>
    <w:rsid w:val="00DE38FB"/>
    <w:rsid w:val="00DF3F5E"/>
    <w:rsid w:val="00DF457E"/>
    <w:rsid w:val="00E0651A"/>
    <w:rsid w:val="00E14A1F"/>
    <w:rsid w:val="00E3647A"/>
    <w:rsid w:val="00E47D3C"/>
    <w:rsid w:val="00E504B2"/>
    <w:rsid w:val="00E62457"/>
    <w:rsid w:val="00E77044"/>
    <w:rsid w:val="00E921EE"/>
    <w:rsid w:val="00EA034C"/>
    <w:rsid w:val="00EB5732"/>
    <w:rsid w:val="00EB72CE"/>
    <w:rsid w:val="00EC2A4B"/>
    <w:rsid w:val="00EC3424"/>
    <w:rsid w:val="00EC68BE"/>
    <w:rsid w:val="00ED00C9"/>
    <w:rsid w:val="00EF779F"/>
    <w:rsid w:val="00EF7C68"/>
    <w:rsid w:val="00F14CF4"/>
    <w:rsid w:val="00F30027"/>
    <w:rsid w:val="00F61168"/>
    <w:rsid w:val="00F75300"/>
    <w:rsid w:val="00F77742"/>
    <w:rsid w:val="00FA0B46"/>
    <w:rsid w:val="00FB797E"/>
    <w:rsid w:val="00FE1AF6"/>
    <w:rsid w:val="00FF4217"/>
  </w:rsids>
  <m:mathPr>
    <m:mathFont m:val="Cambria Math"/>
    <m:brkBin m:val="before"/>
    <m:brkBinSub m:val="--"/>
    <m:smallFrac m:val="0"/>
    <m:dispDef/>
    <m:lMargin m:val="0"/>
    <m:rMargin m:val="0"/>
    <m:defJc m:val="centerGroup"/>
    <m:wrapIndent m:val="1440"/>
    <m:intLim m:val="subSup"/>
    <m:naryLim m:val="undOvr"/>
  </m:mathPr>
  <w:themeFontLang w:val="es-MX"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430B0C"/>
  <w15:chartTrackingRefBased/>
  <w15:docId w15:val="{52DA6424-FFBF-418E-A0AF-1154ADBC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683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958DE"/>
    <w:pPr>
      <w:tabs>
        <w:tab w:val="center" w:pos="4419"/>
        <w:tab w:val="right" w:pos="8838"/>
      </w:tabs>
      <w:spacing w:after="0" w:line="240" w:lineRule="auto"/>
    </w:pPr>
    <w:rPr>
      <w:rFonts w:ascii="Calibri" w:eastAsia="Calibri" w:hAnsi="Calibri" w:cs="Times New Roman"/>
      <w:lang w:eastAsia="en-US"/>
    </w:rPr>
  </w:style>
  <w:style w:type="character" w:customStyle="1" w:styleId="EncabezadoCar">
    <w:name w:val="Encabezado Car"/>
    <w:basedOn w:val="Fuentedeprrafopredeter"/>
    <w:link w:val="Encabezado"/>
    <w:uiPriority w:val="99"/>
    <w:rsid w:val="006958DE"/>
    <w:rPr>
      <w:rFonts w:ascii="Calibri" w:eastAsia="Calibri" w:hAnsi="Calibri" w:cs="Times New Roman"/>
      <w:lang w:eastAsia="en-US"/>
    </w:rPr>
  </w:style>
  <w:style w:type="paragraph" w:styleId="Piedepgina">
    <w:name w:val="footer"/>
    <w:basedOn w:val="Normal"/>
    <w:link w:val="PiedepginaCar"/>
    <w:uiPriority w:val="99"/>
    <w:unhideWhenUsed/>
    <w:rsid w:val="006958DE"/>
    <w:pPr>
      <w:tabs>
        <w:tab w:val="center" w:pos="4419"/>
        <w:tab w:val="right" w:pos="8838"/>
      </w:tabs>
      <w:spacing w:after="0" w:line="240" w:lineRule="auto"/>
    </w:pPr>
    <w:rPr>
      <w:rFonts w:ascii="Calibri" w:eastAsia="Calibri" w:hAnsi="Calibri" w:cs="Times New Roman"/>
      <w:lang w:eastAsia="en-US"/>
    </w:rPr>
  </w:style>
  <w:style w:type="character" w:customStyle="1" w:styleId="PiedepginaCar">
    <w:name w:val="Pie de página Car"/>
    <w:basedOn w:val="Fuentedeprrafopredeter"/>
    <w:link w:val="Piedepgina"/>
    <w:uiPriority w:val="99"/>
    <w:rsid w:val="006958DE"/>
    <w:rPr>
      <w:rFonts w:ascii="Calibri" w:eastAsia="Calibri" w:hAnsi="Calibri" w:cs="Times New Roman"/>
      <w:lang w:eastAsia="en-US"/>
    </w:rPr>
  </w:style>
  <w:style w:type="character" w:styleId="Hipervnculo">
    <w:name w:val="Hyperlink"/>
    <w:uiPriority w:val="99"/>
    <w:unhideWhenUsed/>
    <w:rsid w:val="006958DE"/>
    <w:rPr>
      <w:color w:val="0000FF"/>
      <w:u w:val="single"/>
    </w:rPr>
  </w:style>
  <w:style w:type="table" w:styleId="Tablaconcuadrcula">
    <w:name w:val="Table Grid"/>
    <w:basedOn w:val="Tablanormal"/>
    <w:uiPriority w:val="39"/>
    <w:rsid w:val="006958DE"/>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Fuentedeprrafopredeter"/>
    <w:rsid w:val="006958DE"/>
  </w:style>
  <w:style w:type="character" w:customStyle="1" w:styleId="UnresolvedMention">
    <w:name w:val="Unresolved Mention"/>
    <w:basedOn w:val="Fuentedeprrafopredeter"/>
    <w:uiPriority w:val="99"/>
    <w:semiHidden/>
    <w:unhideWhenUsed/>
    <w:rsid w:val="007E55C7"/>
    <w:rPr>
      <w:color w:val="605E5C"/>
      <w:shd w:val="clear" w:color="auto" w:fill="E1DFDD"/>
    </w:rPr>
  </w:style>
  <w:style w:type="paragraph" w:styleId="NormalWeb">
    <w:name w:val="Normal (Web)"/>
    <w:basedOn w:val="Normal"/>
    <w:uiPriority w:val="99"/>
    <w:unhideWhenUsed/>
    <w:rsid w:val="00DF457E"/>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aliases w:val="Capítulo,Subtitulo1,توابع,Numbered Items,heading2,heading 3,Нумерованый список,List Paragraph1,ПАРАГРАФ,для моей работы,маркированный,Bullets,List Paragraph (numbered (a)),NUMBERED PARAGRAPH,List Paragraph 1,List_Paragraph"/>
    <w:basedOn w:val="Normal"/>
    <w:link w:val="PrrafodelistaCar"/>
    <w:uiPriority w:val="34"/>
    <w:qFormat/>
    <w:rsid w:val="006330D2"/>
    <w:pPr>
      <w:spacing w:after="0" w:line="240" w:lineRule="auto"/>
      <w:ind w:left="720"/>
      <w:contextualSpacing/>
    </w:pPr>
    <w:rPr>
      <w:rFonts w:ascii="Times New Roman" w:eastAsia="Times New Roman" w:hAnsi="Times New Roman" w:cs="Times New Roman"/>
      <w:sz w:val="24"/>
      <w:szCs w:val="24"/>
      <w:lang w:val="es-ES" w:eastAsia="es-ES"/>
    </w:rPr>
  </w:style>
  <w:style w:type="character" w:customStyle="1" w:styleId="PrrafodelistaCar">
    <w:name w:val="Párrafo de lista Car"/>
    <w:aliases w:val="Capítulo Car,Subtitulo1 Car,توابع Car,Numbered Items Car,heading2 Car,heading 3 Car,Нумерованый список Car,List Paragraph1 Car,ПАРАГРАФ Car,для моей работы Car,маркированный Car,Bullets Car,List Paragraph (numbered (a)) Car"/>
    <w:link w:val="Prrafodelista"/>
    <w:uiPriority w:val="34"/>
    <w:rsid w:val="006330D2"/>
    <w:rPr>
      <w:rFonts w:ascii="Times New Roman" w:eastAsia="Times New Roman" w:hAnsi="Times New Roman" w:cs="Times New Roman"/>
      <w:sz w:val="24"/>
      <w:szCs w:val="24"/>
      <w:lang w:val="es-ES" w:eastAsia="es-ES"/>
    </w:rPr>
  </w:style>
  <w:style w:type="character" w:styleId="Hipervnculovisitado">
    <w:name w:val="FollowedHyperlink"/>
    <w:basedOn w:val="Fuentedeprrafopredeter"/>
    <w:uiPriority w:val="99"/>
    <w:semiHidden/>
    <w:unhideWhenUsed/>
    <w:rsid w:val="00615D1A"/>
    <w:rPr>
      <w:color w:val="954F72" w:themeColor="followedHyperlink"/>
      <w:u w:val="single"/>
    </w:rPr>
  </w:style>
  <w:style w:type="table" w:customStyle="1" w:styleId="Tablaconcuadrcula1">
    <w:name w:val="Tabla con cuadrícula1"/>
    <w:basedOn w:val="Tablanormal"/>
    <w:next w:val="Tablaconcuadrcula"/>
    <w:uiPriority w:val="39"/>
    <w:rsid w:val="006C48B2"/>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9639F"/>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9639F"/>
    <w:pPr>
      <w:widowControl w:val="0"/>
      <w:autoSpaceDE w:val="0"/>
      <w:autoSpaceDN w:val="0"/>
      <w:spacing w:after="0" w:line="162" w:lineRule="exact"/>
      <w:jc w:val="center"/>
    </w:pPr>
    <w:rPr>
      <w:rFonts w:ascii="Times New Roman" w:eastAsia="Times New Roman" w:hAnsi="Times New Roman" w:cs="Times New Roman"/>
      <w:lang w:val="es-ES" w:eastAsia="en-US"/>
    </w:rPr>
  </w:style>
  <w:style w:type="table" w:styleId="Tabladecuadrcula1clara">
    <w:name w:val="Grid Table 1 Light"/>
    <w:basedOn w:val="Tablanormal"/>
    <w:uiPriority w:val="46"/>
    <w:rsid w:val="005F57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5F57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6concolores">
    <w:name w:val="List Table 6 Colorful"/>
    <w:basedOn w:val="Tablanormal"/>
    <w:uiPriority w:val="51"/>
    <w:rsid w:val="005F570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
    <w:name w:val="List Table 2"/>
    <w:basedOn w:val="Tablanormal"/>
    <w:uiPriority w:val="47"/>
    <w:rsid w:val="005F570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5">
    <w:name w:val="Plain Table 5"/>
    <w:basedOn w:val="Tablanormal"/>
    <w:uiPriority w:val="45"/>
    <w:rsid w:val="005F57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5F570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cuadrcula7concolores-nfasis3">
    <w:name w:val="Grid Table 7 Colorful Accent 3"/>
    <w:basedOn w:val="Tablanormal"/>
    <w:uiPriority w:val="52"/>
    <w:rsid w:val="005F570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cuadrcula6concolores">
    <w:name w:val="Grid Table 6 Colorful"/>
    <w:basedOn w:val="Tablanormal"/>
    <w:uiPriority w:val="51"/>
    <w:rsid w:val="005F57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7concolores">
    <w:name w:val="Grid Table 7 Colorful"/>
    <w:basedOn w:val="Tablanormal"/>
    <w:uiPriority w:val="52"/>
    <w:rsid w:val="005F57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dq2pgselectionanchorcontainer">
    <w:name w:val="pdq2pg_selectionanchorcontainer"/>
    <w:basedOn w:val="Normal"/>
    <w:rsid w:val="003E154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3E15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277779">
      <w:bodyDiv w:val="1"/>
      <w:marLeft w:val="0"/>
      <w:marRight w:val="0"/>
      <w:marTop w:val="0"/>
      <w:marBottom w:val="0"/>
      <w:divBdr>
        <w:top w:val="none" w:sz="0" w:space="0" w:color="auto"/>
        <w:left w:val="none" w:sz="0" w:space="0" w:color="auto"/>
        <w:bottom w:val="none" w:sz="0" w:space="0" w:color="auto"/>
        <w:right w:val="none" w:sz="0" w:space="0" w:color="auto"/>
      </w:divBdr>
    </w:div>
    <w:div w:id="546991481">
      <w:bodyDiv w:val="1"/>
      <w:marLeft w:val="0"/>
      <w:marRight w:val="0"/>
      <w:marTop w:val="0"/>
      <w:marBottom w:val="0"/>
      <w:divBdr>
        <w:top w:val="none" w:sz="0" w:space="0" w:color="auto"/>
        <w:left w:val="none" w:sz="0" w:space="0" w:color="auto"/>
        <w:bottom w:val="none" w:sz="0" w:space="0" w:color="auto"/>
        <w:right w:val="none" w:sz="0" w:space="0" w:color="auto"/>
      </w:divBdr>
      <w:divsChild>
        <w:div w:id="769198558">
          <w:marLeft w:val="0"/>
          <w:marRight w:val="0"/>
          <w:marTop w:val="0"/>
          <w:marBottom w:val="0"/>
          <w:divBdr>
            <w:top w:val="none" w:sz="0" w:space="0" w:color="auto"/>
            <w:left w:val="none" w:sz="0" w:space="0" w:color="auto"/>
            <w:bottom w:val="none" w:sz="0" w:space="0" w:color="auto"/>
            <w:right w:val="none" w:sz="0" w:space="0" w:color="auto"/>
          </w:divBdr>
          <w:divsChild>
            <w:div w:id="2115054649">
              <w:marLeft w:val="0"/>
              <w:marRight w:val="0"/>
              <w:marTop w:val="0"/>
              <w:marBottom w:val="0"/>
              <w:divBdr>
                <w:top w:val="none" w:sz="0" w:space="0" w:color="auto"/>
                <w:left w:val="none" w:sz="0" w:space="0" w:color="auto"/>
                <w:bottom w:val="none" w:sz="0" w:space="0" w:color="auto"/>
                <w:right w:val="none" w:sz="0" w:space="0" w:color="auto"/>
              </w:divBdr>
              <w:divsChild>
                <w:div w:id="578635387">
                  <w:marLeft w:val="0"/>
                  <w:marRight w:val="0"/>
                  <w:marTop w:val="0"/>
                  <w:marBottom w:val="0"/>
                  <w:divBdr>
                    <w:top w:val="none" w:sz="0" w:space="0" w:color="auto"/>
                    <w:left w:val="none" w:sz="0" w:space="0" w:color="auto"/>
                    <w:bottom w:val="none" w:sz="0" w:space="0" w:color="auto"/>
                    <w:right w:val="none" w:sz="0" w:space="0" w:color="auto"/>
                  </w:divBdr>
                  <w:divsChild>
                    <w:div w:id="7182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614944">
      <w:bodyDiv w:val="1"/>
      <w:marLeft w:val="0"/>
      <w:marRight w:val="0"/>
      <w:marTop w:val="0"/>
      <w:marBottom w:val="0"/>
      <w:divBdr>
        <w:top w:val="none" w:sz="0" w:space="0" w:color="auto"/>
        <w:left w:val="none" w:sz="0" w:space="0" w:color="auto"/>
        <w:bottom w:val="none" w:sz="0" w:space="0" w:color="auto"/>
        <w:right w:val="none" w:sz="0" w:space="0" w:color="auto"/>
      </w:divBdr>
    </w:div>
    <w:div w:id="742946404">
      <w:bodyDiv w:val="1"/>
      <w:marLeft w:val="0"/>
      <w:marRight w:val="0"/>
      <w:marTop w:val="0"/>
      <w:marBottom w:val="0"/>
      <w:divBdr>
        <w:top w:val="none" w:sz="0" w:space="0" w:color="auto"/>
        <w:left w:val="none" w:sz="0" w:space="0" w:color="auto"/>
        <w:bottom w:val="none" w:sz="0" w:space="0" w:color="auto"/>
        <w:right w:val="none" w:sz="0" w:space="0" w:color="auto"/>
      </w:divBdr>
    </w:div>
    <w:div w:id="786389254">
      <w:bodyDiv w:val="1"/>
      <w:marLeft w:val="0"/>
      <w:marRight w:val="0"/>
      <w:marTop w:val="0"/>
      <w:marBottom w:val="0"/>
      <w:divBdr>
        <w:top w:val="none" w:sz="0" w:space="0" w:color="auto"/>
        <w:left w:val="none" w:sz="0" w:space="0" w:color="auto"/>
        <w:bottom w:val="none" w:sz="0" w:space="0" w:color="auto"/>
        <w:right w:val="none" w:sz="0" w:space="0" w:color="auto"/>
      </w:divBdr>
    </w:div>
    <w:div w:id="813719669">
      <w:bodyDiv w:val="1"/>
      <w:marLeft w:val="0"/>
      <w:marRight w:val="0"/>
      <w:marTop w:val="0"/>
      <w:marBottom w:val="0"/>
      <w:divBdr>
        <w:top w:val="none" w:sz="0" w:space="0" w:color="auto"/>
        <w:left w:val="none" w:sz="0" w:space="0" w:color="auto"/>
        <w:bottom w:val="none" w:sz="0" w:space="0" w:color="auto"/>
        <w:right w:val="none" w:sz="0" w:space="0" w:color="auto"/>
      </w:divBdr>
    </w:div>
    <w:div w:id="907960028">
      <w:bodyDiv w:val="1"/>
      <w:marLeft w:val="0"/>
      <w:marRight w:val="0"/>
      <w:marTop w:val="0"/>
      <w:marBottom w:val="0"/>
      <w:divBdr>
        <w:top w:val="none" w:sz="0" w:space="0" w:color="auto"/>
        <w:left w:val="none" w:sz="0" w:space="0" w:color="auto"/>
        <w:bottom w:val="none" w:sz="0" w:space="0" w:color="auto"/>
        <w:right w:val="none" w:sz="0" w:space="0" w:color="auto"/>
      </w:divBdr>
    </w:div>
    <w:div w:id="1144157787">
      <w:bodyDiv w:val="1"/>
      <w:marLeft w:val="0"/>
      <w:marRight w:val="0"/>
      <w:marTop w:val="0"/>
      <w:marBottom w:val="0"/>
      <w:divBdr>
        <w:top w:val="none" w:sz="0" w:space="0" w:color="auto"/>
        <w:left w:val="none" w:sz="0" w:space="0" w:color="auto"/>
        <w:bottom w:val="none" w:sz="0" w:space="0" w:color="auto"/>
        <w:right w:val="none" w:sz="0" w:space="0" w:color="auto"/>
      </w:divBdr>
    </w:div>
    <w:div w:id="1680083684">
      <w:bodyDiv w:val="1"/>
      <w:marLeft w:val="0"/>
      <w:marRight w:val="0"/>
      <w:marTop w:val="0"/>
      <w:marBottom w:val="0"/>
      <w:divBdr>
        <w:top w:val="none" w:sz="0" w:space="0" w:color="auto"/>
        <w:left w:val="none" w:sz="0" w:space="0" w:color="auto"/>
        <w:bottom w:val="none" w:sz="0" w:space="0" w:color="auto"/>
        <w:right w:val="none" w:sz="0" w:space="0" w:color="auto"/>
      </w:divBdr>
    </w:div>
    <w:div w:id="210233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orcid.org/0000-0001-6442-4409" TargetMode="External"/><Relationship Id="rId26" Type="http://schemas.openxmlformats.org/officeDocument/2006/relationships/hyperlink" Target="http://creativecommons.org/licenses/by-nc-nd/4.0/" TargetMode="External"/><Relationship Id="rId39" Type="http://schemas.openxmlformats.org/officeDocument/2006/relationships/header" Target="header2.xml"/><Relationship Id="rId21" Type="http://schemas.openxmlformats.org/officeDocument/2006/relationships/hyperlink" Target="https://marvid.org/research_areas.php" TargetMode="External"/><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ebofscience.com/wos/author/record/1125517" TargetMode="External"/><Relationship Id="rId20" Type="http://schemas.openxmlformats.org/officeDocument/2006/relationships/header" Target="header1.xml"/><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hyperlink" Target="http://www.ecorfan.org/pdf/Authorization%20Form-Formato%20de%20Autorizacion_2.pdf"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jpeg"/><Relationship Id="rId28" Type="http://schemas.openxmlformats.org/officeDocument/2006/relationships/image" Target="media/image11.png"/><Relationship Id="rId36" Type="http://schemas.openxmlformats.org/officeDocument/2006/relationships/hyperlink" Target="http://www.ecorfan.org/pdf/Originality%20Format-Formato%20de%20Originalidad_2.pdf"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ror.org/0580rm578" TargetMode="External"/><Relationship Id="rId14" Type="http://schemas.openxmlformats.org/officeDocument/2006/relationships/hyperlink" Target="https://ror.org/01p93h210" TargetMode="External"/><Relationship Id="rId22" Type="http://schemas.openxmlformats.org/officeDocument/2006/relationships/hyperlink" Target="https://doi.org/" TargetMode="External"/><Relationship Id="rId27" Type="http://schemas.openxmlformats.org/officeDocument/2006/relationships/hyperlink" Target="https://www.marvid.org/" TargetMode="External"/><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hyperlink" Target="https://www.ecorfan.org/servicios/Formato%20de%20Conflicto%20de%20intereses,%20Cesi%C3%B3n%20de%20derechos%20y%20distribuci%C3%B3n_I.pdf" TargetMode="External"/><Relationship Id="rId43" Type="http://schemas.openxmlformats.org/officeDocument/2006/relationships/hyperlink" Target="https://www.webofscience.com/wos/author/record/QXJ-0529-2026" TargetMode="External"/><Relationship Id="rId44" Type="http://schemas.openxmlformats.org/officeDocument/2006/relationships/hyperlink" Target="https://orcid.org/0009-0005-6254-143X" TargetMode="External"/><Relationship Id="rId45" Type="http://schemas.openxmlformats.org/officeDocument/2006/relationships/hyperlink" Target="https://secihti.mx/" TargetMode="External"/><Relationship Id="rId46" Type="http://schemas.openxmlformats.org/officeDocument/2006/relationships/hyperlink" Target="https://www.webofscience.com/wos/author/record/QXI-7175-2026" TargetMode="External"/><Relationship Id="rId47" Type="http://schemas.openxmlformats.org/officeDocument/2006/relationships/hyperlink" Target="https://orcid.org/0000-0002-2484-9557" TargetMode="External"/><Relationship Id="rId48" Type="http://schemas.openxmlformats.org/officeDocument/2006/relationships/hyperlink" Target="https://www.webofscience.com/wos/author/record/QXJ-0392-2026" TargetMode="External"/><Relationship Id="rId49" Type="http://schemas.openxmlformats.org/officeDocument/2006/relationships/hyperlink" Target="https://orcid.org/0009-0007-3628-5000" TargetMode="External"/><Relationship Id="rId50" Type="http://schemas.openxmlformats.org/officeDocument/2006/relationships/hyperlink" Target="https://www.webofscience.com/wos/author/record/QXJ-0480-2026" TargetMode="External"/><Relationship Id="rId51" Type="http://schemas.openxmlformats.org/officeDocument/2006/relationships/hyperlink" Target="https://orcid.org/0009-0008-4895-378X" TargetMode="External"/><Relationship Id="rId52" Type="http://schemas.openxmlformats.org/officeDocument/2006/relationships/hyperlink" Target="mailto:ivan.peredo@upq.mx" TargetMode="External"/><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image" Target="media/image21.png"/><Relationship Id="rId56" Type="http://schemas.openxmlformats.org/officeDocument/2006/relationships/image" Target="media/image22.png"/><Relationship Id="rId57" Type="http://schemas.openxmlformats.org/officeDocument/2006/relationships/image" Target="media/image23.png"/></Relationships>
</file>

<file path=word/_rels/footer1.xml.rels><?xml version='1.0' encoding='UTF-8' standalone='yes'?>
<Relationships xmlns="http://schemas.openxmlformats.org/package/2006/relationships"><Relationship Id="rId2" Type="http://schemas.openxmlformats.org/officeDocument/2006/relationships/hyperlink" Target="https://doi.org/10.35429/" TargetMode="External"/><Relationship Id="rId1" Type="http://schemas.openxmlformats.org/officeDocument/2006/relationships/hyperlink" Target="https://doi.org/10.3542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E40E05-DA60-447C-B9EC-2E330C06A693}">
  <we:reference id="wa104380121" version="2.0.0.0" store="es-ES" storeType="OMEX"/>
  <we:alternateReferences>
    <we:reference id="wa104380121" version="2.0.0.0" store="WA10438012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1B185-0292-45B7-9F08-BDF5F5601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1713</TotalTime>
  <Pages>8</Pages>
  <Words>4319</Words>
  <Characters>23759</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Does Machine Learning Really Improve Diabetes Risk Prediction from Population Health Indicators?</dc:title>
  <dc:subject/>
  <dc:creator>Guillermo Álvarez Sánchez; Iván Peredo Valderrama; José Javier Moya Moya; Jairo Pacindo Piña</dc:creator>
  <cp:keywords/>
  <dc:description/>
  <cp:lastModifiedBy>PREDIA / Universidad Politécnica de Querétaro</cp:lastModifiedBy>
  <cp:revision>90</cp:revision>
  <cp:lastPrinted>2024-02-16T19:21:00Z</cp:lastPrinted>
  <dcterms:created xsi:type="dcterms:W3CDTF">2017-08-15T22:05:00Z</dcterms:created>
  <dcterms:modified xsi:type="dcterms:W3CDTF">2026-09-01T16:04:00Z</dcterms:modified>
</cp:coreProperties>
</file>