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40" w:line="240" w:lineRule="auto"/>
        <w:jc w:val="right"/>
      </w:pPr>
      <w:r>
        <w:rPr>
          <w:rFonts w:ascii="Times New Roman" w:hAnsi="Times New Roman" w:eastAsia="Times New Roman"/>
          <w:b w:val="0"/>
          <w:i/>
          <w:sz w:val="18"/>
        </w:rPr>
        <w:t>Article</w:t>
      </w:r>
    </w:p>
    <w:p>
      <w:pPr>
        <w:spacing w:before="0" w:after="120" w:line="240" w:lineRule="auto"/>
      </w:pPr>
      <w:r>
        <w:rPr>
          <w:rFonts w:ascii="Times New Roman" w:hAnsi="Times New Roman" w:eastAsia="Times New Roman"/>
          <w:b/>
          <w:i w:val="0"/>
          <w:color w:val="203764"/>
          <w:sz w:val="28"/>
        </w:rPr>
        <w:t>¿Cuánto mejora realmente el aprendizaje automático la predicción del riesgo de diabetes a partir de indicadores de salud poblacional? Un benchmark honesto, interpretable y reproducible sobre BRFSS 2015</w:t>
      </w:r>
    </w:p>
    <w:p>
      <w:pPr>
        <w:spacing w:before="0" w:after="100" w:line="240" w:lineRule="auto"/>
      </w:pPr>
      <w:r>
        <w:rPr>
          <w:rFonts w:ascii="Times New Roman" w:hAnsi="Times New Roman" w:eastAsia="Times New Roman"/>
          <w:b w:val="0"/>
          <w:i/>
          <w:sz w:val="22"/>
        </w:rPr>
        <w:t>How much does machine learning really improve diabetes risk prediction from population health indicators? An honest, interpretable and reproducible benchmark on BRFSS 2015</w:t>
      </w:r>
    </w:p>
    <w:p>
      <w:pPr>
        <w:spacing w:before="0" w:after="60" w:line="240" w:lineRule="auto"/>
      </w:pPr>
      <w:r>
        <w:rPr>
          <w:rFonts w:ascii="Times New Roman" w:hAnsi="Times New Roman" w:eastAsia="Times New Roman"/>
          <w:b/>
          <w:i w:val="0"/>
          <w:sz w:val="21"/>
        </w:rPr>
        <w:t>ÁLVAREZ-SÁNCHEZ, G.; MOYA-MOYA, J. Javier; PEREDO-VALDERRAMA, I.; PACINDO-PIÑA, J.; FERNANDEZ-CONDE, D.</w:t>
      </w:r>
    </w:p>
    <w:p>
      <w:pPr>
        <w:spacing w:before="0" w:after="40" w:line="240" w:lineRule="auto"/>
      </w:pPr>
      <w:r>
        <w:rPr>
          <w:rFonts w:ascii="Times New Roman" w:hAnsi="Times New Roman" w:eastAsia="Times New Roman"/>
          <w:b w:val="0"/>
          <w:i/>
          <w:sz w:val="18"/>
        </w:rPr>
        <w:t>Universidad Politécnica de Querétaro, ROR https://ror.org/0580rm578. G. Álvarez Sánchez: ORCID 0009-0005-6254-143X; ResearchID rid168626 (researchid.co/rid168626; usuario wowoso10); CVU CONAHCYT 2044833; correo institucional 124050514@upq.edu.mx. Datos de coautores: pendientes de confirmación.</w:t>
      </w:r>
    </w:p>
    <w:p>
      <w:pPr>
        <w:spacing w:before="0" w:after="100" w:line="240" w:lineRule="auto"/>
      </w:pPr>
      <w:r>
        <w:rPr>
          <w:rFonts w:ascii="Times New Roman" w:hAnsi="Times New Roman" w:eastAsia="Times New Roman"/>
          <w:b w:val="0"/>
          <w:i/>
          <w:sz w:val="17"/>
        </w:rPr>
        <w:t>Received: use only ECORFAN | Accepted: use only ECORFAN | DOI: use only ECORFAN | Correspondence: 124050514@upq.edu.mx</w:t>
      </w:r>
    </w:p>
    <w:p>
      <w:pPr>
        <w:spacing w:before="0" w:after="80" w:line="240" w:lineRule="auto"/>
        <w:pBdr>
          <w:bottom w:val="single" w:sz="8" w:space="2" w:color="7F7F7F"/>
        </w:pBdr>
      </w:pPr>
    </w:p>
    <w:tbl>
      <w:tblPr>
        <w:tblW w:type="auto" w:w="0"/>
        <w:tblLayout w:type="autofit"/>
        <w:tblLook w:firstColumn="1" w:firstRow="1" w:lastColumn="0" w:lastRow="0" w:noHBand="0" w:noVBand="1" w:val="04A0"/>
      </w:tblPr>
      <w:tblGrid>
        <w:gridCol w:w="4982"/>
        <w:gridCol w:w="4982"/>
      </w:tblGrid>
      <w:tr>
        <w:tc>
          <w:tcPr>
            <w:tcW w:type="dxa" w:w="4982"/>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70" w:type="dxa"/>
              <w:start w:w="90" w:type="dxa"/>
              <w:bottom w:w="70" w:type="dxa"/>
              <w:end w:w="90" w:type="dxa"/>
            </w:tcMar>
            <w:vAlign w:val="top"/>
          </w:tcPr>
          <w:p>
            <w:r/>
          </w:p>
          <w:p>
            <w:pPr>
              <w:spacing w:after="40"/>
            </w:pPr>
            <w:r>
              <w:rPr>
                <w:rFonts w:ascii="Times New Roman" w:hAnsi="Times New Roman" w:eastAsia="Times New Roman"/>
                <w:b/>
                <w:i w:val="0"/>
                <w:color w:val="203764"/>
                <w:sz w:val="22"/>
              </w:rPr>
              <w:t>Resumen</w:t>
            </w:r>
          </w:p>
          <w:p>
            <w:pPr>
              <w:spacing w:line="240" w:lineRule="auto" w:after="80"/>
            </w:pPr>
            <w:r>
              <w:rPr>
                <w:rFonts w:ascii="Times New Roman" w:hAnsi="Times New Roman" w:eastAsia="Times New Roman"/>
                <w:b w:val="0"/>
                <w:i w:val="0"/>
                <w:sz w:val="19"/>
              </w:rPr>
              <w:t>Se presenta un benchmark reproducible para estimar riesgo de diabetes usando BRFSS 2015 (n=253,680; prevalencia 13.9%). Se compararon nueve estimadores con partición 60/20/20, validación, calibración y análisis interpretable. HistGradientBoosting y XGBoost alcanzaron ROC-AUC 0.827, apenas 0.007 por encima de regresión logística (0.820), lo que muestra que la calidad de las variables limita más que la complejidad del modelo. La calibración isotónica redujo ECE a 0.003 y las bandas de riesgo separaron prevalencias de 2.9% a 48.0%. El sistema apoya cribado y priorización clínica, no diagnóstico automático.</w:t>
            </w:r>
          </w:p>
          <w:p>
            <w:pPr>
              <w:spacing w:after="40"/>
            </w:pPr>
            <w:r>
              <w:rPr>
                <w:rFonts w:ascii="Times New Roman" w:hAnsi="Times New Roman" w:eastAsia="Times New Roman"/>
                <w:b/>
                <w:i w:val="0"/>
                <w:color w:val="203764"/>
                <w:sz w:val="22"/>
              </w:rPr>
              <w:t>Abstract</w:t>
            </w:r>
          </w:p>
          <w:p>
            <w:pPr>
              <w:spacing w:line="240" w:lineRule="auto" w:after="80"/>
            </w:pPr>
            <w:r>
              <w:rPr>
                <w:rFonts w:ascii="Times New Roman" w:hAnsi="Times New Roman" w:eastAsia="Times New Roman"/>
                <w:b w:val="0"/>
                <w:i w:val="0"/>
                <w:sz w:val="19"/>
              </w:rPr>
              <w:t>This paper presents a reproducible benchmark for diabetes risk prediction using BRFSS 2015 (n=253,680; 13.9% prevalence). Nine estimators were compared under a 60/20/20 split with validation, calibration and interpretability analysis. HistGradientBoosting and XGBoost reached ROC-AUC 0.827, only 0.007 above logistic regression (0.820), indicating that variable quality limits performance more than model complexity. Isotonic calibration reduced ECE to 0.003 and risk bands separated observed prevalence from 2.9% to 48.0%. The model is suitable for screening and clinical prioritization, not autonomous diagnosis.</w:t>
            </w:r>
          </w:p>
          <w:p>
            <w:pPr>
              <w:spacing w:after="40"/>
            </w:pPr>
            <w:r>
              <w:rPr>
                <w:rFonts w:ascii="Times New Roman" w:hAnsi="Times New Roman" w:eastAsia="Times New Roman"/>
                <w:b/>
                <w:i w:val="0"/>
                <w:color w:val="203764"/>
                <w:sz w:val="22"/>
              </w:rPr>
              <w:t>Palabras clave</w:t>
            </w:r>
          </w:p>
          <w:p>
            <w:pPr>
              <w:spacing w:line="240" w:lineRule="auto" w:after="80"/>
            </w:pPr>
            <w:r>
              <w:rPr>
                <w:rFonts w:ascii="Times New Roman" w:hAnsi="Times New Roman" w:eastAsia="Times New Roman"/>
                <w:b w:val="0"/>
                <w:i w:val="0"/>
                <w:sz w:val="18"/>
              </w:rPr>
              <w:t>Predicción de diabetes; aprendizaje automático; calibración clínica.</w:t>
            </w:r>
          </w:p>
        </w:tc>
        <w:tc>
          <w:tcPr>
            <w:tcW w:type="dxa" w:w="4982"/>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70" w:type="dxa"/>
              <w:start w:w="90" w:type="dxa"/>
              <w:bottom w:w="70" w:type="dxa"/>
              <w:end w:w="90" w:type="dxa"/>
            </w:tcMar>
            <w:vAlign w:val="top"/>
          </w:tcPr>
          <w:p>
            <w:r/>
          </w:p>
          <w:p>
            <w:pPr>
              <w:spacing w:after="40"/>
              <w:jc w:val="center"/>
            </w:pPr>
            <w:r>
              <w:rPr>
                <w:rFonts w:ascii="Times New Roman" w:hAnsi="Times New Roman" w:eastAsia="Times New Roman"/>
                <w:b/>
                <w:i w:val="0"/>
                <w:color w:val="203764"/>
                <w:sz w:val="22"/>
              </w:rPr>
              <w:t>Graphical Abstract</w:t>
            </w:r>
          </w:p>
          <w:p>
            <w:pPr>
              <w:jc w:val="center"/>
            </w:pPr>
            <w:r>
              <w:drawing>
                <wp:inline xmlns:a="http://schemas.openxmlformats.org/drawingml/2006/main" xmlns:pic="http://schemas.openxmlformats.org/drawingml/2006/picture">
                  <wp:extent cx="2788920" cy="1168331"/>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47"/>
                          <a:stretch>
                            <a:fillRect/>
                          </a:stretch>
                        </pic:blipFill>
                        <pic:spPr>
                          <a:xfrm>
                            <a:off x="0" y="0"/>
                            <a:ext cx="2788920" cy="1168331"/>
                          </a:xfrm>
                          <a:prstGeom prst="rect"/>
                        </pic:spPr>
                      </pic:pic>
                    </a:graphicData>
                  </a:graphic>
                </wp:inline>
              </w:drawing>
            </w:r>
          </w:p>
          <w:p>
            <w:pPr>
              <w:spacing w:after="40"/>
            </w:pPr>
            <w:r>
              <w:rPr>
                <w:rFonts w:ascii="Times New Roman" w:hAnsi="Times New Roman" w:eastAsia="Times New Roman"/>
                <w:b/>
                <w:i w:val="0"/>
                <w:color w:val="203764"/>
                <w:sz w:val="22"/>
              </w:rPr>
              <w:t>Clasificación SECIHTI</w:t>
            </w:r>
          </w:p>
          <w:p>
            <w:pPr>
              <w:spacing w:line="240" w:lineRule="auto" w:after="80"/>
            </w:pPr>
            <w:r>
              <w:rPr>
                <w:rFonts w:ascii="Times New Roman" w:hAnsi="Times New Roman" w:eastAsia="Times New Roman"/>
                <w:b w:val="0"/>
                <w:i w:val="0"/>
                <w:sz w:val="18"/>
              </w:rPr>
              <w:t>Área: Ciencias de la Salud. Campo: Salud pública e informática médica. Disciplina: aprendizaje automático aplicado a salud. Subdisciplina: predicción clínica del riesgo de diabetes.</w:t>
            </w:r>
          </w:p>
          <w:p>
            <w:pPr>
              <w:spacing w:after="40"/>
            </w:pPr>
            <w:r>
              <w:rPr>
                <w:rFonts w:ascii="Times New Roman" w:hAnsi="Times New Roman" w:eastAsia="Times New Roman"/>
                <w:b/>
                <w:i w:val="0"/>
                <w:color w:val="203764"/>
                <w:sz w:val="22"/>
              </w:rPr>
              <w:t>Keywords</w:t>
            </w:r>
          </w:p>
          <w:p>
            <w:pPr>
              <w:spacing w:line="240" w:lineRule="auto" w:after="80"/>
            </w:pPr>
            <w:r>
              <w:rPr>
                <w:rFonts w:ascii="Times New Roman" w:hAnsi="Times New Roman" w:eastAsia="Times New Roman"/>
                <w:b w:val="0"/>
                <w:i w:val="0"/>
                <w:sz w:val="18"/>
              </w:rPr>
              <w:t>Diabetes risk prediction; machine learning; clinical calibration.</w:t>
            </w:r>
          </w:p>
        </w:tc>
      </w:tr>
    </w:tbl>
    <w:p>
      <w:pPr>
        <w:spacing w:before="80" w:after="0" w:line="240" w:lineRule="auto"/>
      </w:pPr>
      <w:r>
        <w:rPr>
          <w:rFonts w:ascii="Times New Roman" w:hAnsi="Times New Roman" w:eastAsia="Times New Roman"/>
          <w:b w:val="0"/>
          <w:i/>
          <w:sz w:val="16"/>
        </w:rPr>
        <w:t>Citation: Álvarez-Sánchez, G., Moya-Moya, J. J., Peredo-Valderrama, I., Pacindo-Piña, J. &amp; Fernandez-Conde, D. (2026). ¿Cuánto mejora realmente el aprendizaje automático la predicción del riesgo de diabetes a partir de indicadores de salud poblacional? ECORFAN Journal, Vol.1 No.1, 1-7.</w:t>
      </w:r>
    </w:p>
    <w:p>
      <w:pPr>
        <w:sectPr>
          <w:headerReference w:type="default" r:id="rId39"/>
          <w:footerReference w:type="default" r:id="rId40"/>
          <w:headerReference w:type="first" r:id="rId43"/>
          <w:headerReference w:type="even" r:id="rId44"/>
          <w:footerReference w:type="first" r:id="rId45"/>
          <w:footerReference w:type="even" r:id="rId46"/>
          <w:type w:val="continuous"/>
          <w:pgSz w:w="12240" w:h="18720" w:code="14"/>
          <w:pgMar w:top="1138" w:right="1138" w:bottom="1138" w:left="1138" w:header="403" w:footer="403" w:gutter="0"/>
          <w:cols w:num="1" w:space="360"/>
          <w:titlePg/>
          <w:docGrid w:linePitch="360"/>
        </w:sectPr>
      </w:pPr>
    </w:p>
    <w:p>
      <w:pPr>
        <w:keepNext/>
        <w:spacing w:before="160" w:after="60" w:line="240" w:lineRule="auto"/>
      </w:pPr>
      <w:r>
        <w:rPr>
          <w:rFonts w:ascii="Times New Roman" w:hAnsi="Times New Roman" w:eastAsia="Times New Roman"/>
          <w:b/>
          <w:i w:val="0"/>
          <w:color w:val="203764"/>
          <w:sz w:val="24"/>
        </w:rPr>
        <w:t>1. Introducción</w:t>
      </w:r>
    </w:p>
    <w:p>
      <w:pPr>
        <w:spacing w:before="0" w:after="60" w:line="240" w:lineRule="auto"/>
      </w:pPr>
      <w:r>
        <w:rPr>
          <w:rFonts w:ascii="Times New Roman" w:hAnsi="Times New Roman" w:eastAsia="Times New Roman"/>
          <w:b w:val="0"/>
          <w:i w:val="0"/>
          <w:sz w:val="22"/>
        </w:rPr>
        <w:t>La diabetes mellitus tipo 2 es un problema prioritario de salud pública por su prevalencia, costos asistenciales y asociación con complicaciones cardiovasculares, renales, neurológicas y oftalmológicas. La detección temprana permite intervenir con cambios de estilo de vida, seguimiento preventivo y tratamiento oportuno antes de que aparezcan daños irreversibles.</w:t>
      </w:r>
    </w:p>
    <w:p>
      <w:pPr>
        <w:spacing w:before="0" w:after="60" w:line="240" w:lineRule="auto"/>
      </w:pPr>
      <w:r>
        <w:rPr>
          <w:rFonts w:ascii="Times New Roman" w:hAnsi="Times New Roman" w:eastAsia="Times New Roman"/>
          <w:b w:val="0"/>
          <w:i w:val="0"/>
          <w:sz w:val="22"/>
        </w:rPr>
        <w:t>En este contexto, los modelos de aprendizaje automático se han popularizado como herramientas para estratificar riesgo. Sin embargo, una mejora aparente de métricas puede ocultar problemas de fuga de información, desbalance de clases, falta de calibración y poca utilidad clínica. Por ello, este trabajo se enfoca en una pregunta práctica: cuánto aporta realmente el aprendizaje automático frente a modelos lineales cuando solo se dispone de indicadores poblacionales autodeclarados.</w:t>
      </w:r>
    </w:p>
    <w:p>
      <w:pPr>
        <w:spacing w:before="0" w:after="60" w:line="240" w:lineRule="auto"/>
      </w:pPr>
      <w:r>
        <w:rPr>
          <w:rFonts w:ascii="Times New Roman" w:hAnsi="Times New Roman" w:eastAsia="Times New Roman"/>
          <w:b w:val="0"/>
          <w:i w:val="0"/>
          <w:sz w:val="22"/>
        </w:rPr>
        <w:t>El objetivo del estudio no es producir un diagnóstico automático, sino establecer una línea base honesta, interpretable y reproducible para orientar sistemas como PREDIA, donde las predicciones deben integrarse a flujos clínicos verificables, explicables y supervisados por profesionales de salud.</w:t>
      </w:r>
    </w:p>
    <w:p>
      <w:pPr>
        <w:keepNext/>
        <w:spacing w:before="160" w:after="60" w:line="240" w:lineRule="auto"/>
      </w:pPr>
      <w:r>
        <w:rPr>
          <w:rFonts w:ascii="Times New Roman" w:hAnsi="Times New Roman" w:eastAsia="Times New Roman"/>
          <w:b/>
          <w:i w:val="0"/>
          <w:color w:val="203764"/>
          <w:sz w:val="24"/>
        </w:rPr>
        <w:t>2. Trabajo relacionado</w:t>
      </w:r>
    </w:p>
    <w:p>
      <w:pPr>
        <w:spacing w:before="0" w:after="60" w:line="240" w:lineRule="auto"/>
      </w:pPr>
      <w:r>
        <w:rPr>
          <w:rFonts w:ascii="Times New Roman" w:hAnsi="Times New Roman" w:eastAsia="Times New Roman"/>
          <w:b w:val="0"/>
          <w:i w:val="0"/>
          <w:sz w:val="22"/>
        </w:rPr>
        <w:t>La literatura reciente reporta desempeño alto en predicción de diabetes con árboles de gradiente, ensambles y redes neuronales. No obstante, parte de estos resultados depende de variables de laboratorio o de datos clínicos muy cercanos al diagnóstico, lo que puede incrementar el AUC pero limitar la generalización cuando el sistema se usa para tamizaje poblacional.</w:t>
      </w:r>
    </w:p>
    <w:p>
      <w:pPr>
        <w:spacing w:before="0" w:after="60" w:line="240" w:lineRule="auto"/>
      </w:pPr>
      <w:r>
        <w:rPr>
          <w:rFonts w:ascii="Times New Roman" w:hAnsi="Times New Roman" w:eastAsia="Times New Roman"/>
          <w:b w:val="0"/>
          <w:i w:val="0"/>
          <w:sz w:val="22"/>
        </w:rPr>
        <w:t>Otros trabajos muestran que los modelos lineales permanecen competitivos cuando los predictores son sociodemográficos y de hábitos de salud. Esto justifica comparar modelos complejos contra regresión logística y no contra baselines débiles. Además, en salud digital resulta tan relevante estimar probabilidades calibradas como ordenar pacientes por riesgo.</w:t>
      </w:r>
    </w:p>
    <w:p>
      <w:pPr>
        <w:keepNext/>
        <w:spacing w:before="160" w:after="60" w:line="240" w:lineRule="auto"/>
      </w:pPr>
      <w:r>
        <w:rPr>
          <w:rFonts w:ascii="Times New Roman" w:hAnsi="Times New Roman" w:eastAsia="Times New Roman"/>
          <w:b/>
          <w:i w:val="0"/>
          <w:color w:val="203764"/>
          <w:sz w:val="24"/>
        </w:rPr>
        <w:t>3. Descripción del conjunto de datos</w:t>
      </w:r>
    </w:p>
    <w:p>
      <w:pPr>
        <w:spacing w:before="0" w:after="60" w:line="240" w:lineRule="auto"/>
      </w:pPr>
      <w:r>
        <w:rPr>
          <w:rFonts w:ascii="Times New Roman" w:hAnsi="Times New Roman" w:eastAsia="Times New Roman"/>
          <w:b w:val="0"/>
          <w:i w:val="0"/>
          <w:sz w:val="22"/>
        </w:rPr>
        <w:t>Se utilizó el conjunto Diabetes Health Indicators del Behavioral Risk Factor Surveillance System 2015 (CDC BRFSS). El conjunto contiene indicadores poblacionales autodeclarados sobre salud general, hábitos, edad, sexo, índice de masa corporal, hipertensión, colesterol, actividad física y consumo de frutas/verduras, entre otros. La variable objetivo binaria indica presencia o ausencia de diabetes.</w:t>
      </w:r>
    </w:p>
    <w:p>
      <w:pPr>
        <w:spacing w:before="0" w:after="80" w:line="240" w:lineRule="auto"/>
      </w:pPr>
      <w:r>
        <w:rPr>
          <w:rFonts w:ascii="Times New Roman" w:hAnsi="Times New Roman" w:eastAsia="Times New Roman"/>
          <w:b/>
          <w:i w:val="0"/>
          <w:sz w:val="17"/>
        </w:rPr>
        <w:t>Tabla 1.</w:t>
      </w:r>
      <w:r>
        <w:rPr>
          <w:rFonts w:ascii="Times New Roman" w:hAnsi="Times New Roman" w:eastAsia="Times New Roman"/>
          <w:b w:val="0"/>
          <w:i w:val="0"/>
          <w:sz w:val="17"/>
        </w:rPr>
        <w:t xml:space="preserve"> Características principales del conjunto de datos BRFSS 2015.</w:t>
      </w:r>
    </w:p>
    <w:tbl>
      <w:tblPr>
        <w:tblW w:type="dxa" w:w="4176"/>
        <w:tblLayout w:type="fixed"/>
        <w:tblLook w:firstColumn="1" w:firstRow="1" w:lastColumn="0" w:lastRow="0" w:noHBand="0" w:noVBand="1" w:val="04A0"/>
      </w:tblPr>
      <w:tblGrid>
        <w:gridCol w:w="1800"/>
        <w:gridCol w:w="2376"/>
      </w:tblGrid>
      <w:tr>
        <w:tc>
          <w:tcPr>
            <w:tcW w:type="dxa" w:w="180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6"/>
              </w:rPr>
              <w:t>Elemento</w:t>
            </w:r>
          </w:p>
        </w:tc>
        <w:tc>
          <w:tcPr>
            <w:tcW w:type="dxa" w:w="2376"/>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6"/>
              </w:rPr>
              <w:t>Valor</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Personas encuestadas</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253,680</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Predictores numéricos</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21</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Variable objetivo</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Diabetes_binary</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Prevalencia positiva</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13.9%</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Relación de desbalance</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6.18:1</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Valores faltantes</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0</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Filas duplicadas</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24,206 (9.5%), preservadas</w:t>
            </w:r>
          </w:p>
        </w:tc>
      </w:tr>
      <w:tr>
        <w:tc>
          <w:tcPr>
            <w:tcW w:type="dxa" w:w="180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6"/>
              </w:rPr>
              <w:t>Variables de laboratorio</w:t>
            </w:r>
          </w:p>
        </w:tc>
        <w:tc>
          <w:tcPr>
            <w:tcW w:type="dxa" w:w="237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6"/>
              </w:rPr>
              <w:t>No disponibles</w:t>
            </w:r>
          </w:p>
        </w:tc>
      </w:tr>
    </w:tbl>
    <w:p>
      <w:pPr>
        <w:spacing w:before="0" w:after="80" w:line="240" w:lineRule="auto"/>
      </w:pPr>
    </w:p>
    <w:tbl>
      <w:tblPr>
        <w:tblW w:type="dxa" w:w="4320"/>
        <w:tblLayout w:type="fixed"/>
        <w:tblLook w:firstColumn="1" w:firstRow="1" w:lastColumn="0" w:lastRow="0" w:noHBand="0" w:noVBand="1" w:val="04A0"/>
      </w:tblPr>
      <w:tblGrid>
        <w:gridCol w:w="4320"/>
      </w:tblGrid>
      <w:tr>
        <w:tc>
          <w:tcPr>
            <w:tcW w:type="dxa" w:w="4320"/>
            <w:shd w:fill="EAF1F8"/>
            <w:tcBorders>
              <w:top w:val="single" w:sz="4" w:space="0" w:color="A6BDD7"/>
              <w:left w:val="single" w:sz="4" w:space="0" w:color="A6BDD7"/>
              <w:bottom w:val="single" w:sz="4" w:space="0" w:color="A6BDD7"/>
              <w:right w:val="single" w:sz="4" w:space="0" w:color="A6BDD7"/>
              <w:insideH w:val="single" w:sz="4" w:space="0" w:color="A6BDD7"/>
              <w:insideV w:val="single" w:sz="4" w:space="0" w:color="A6BDD7"/>
            </w:tcBorders>
            <w:tcMar>
              <w:top w:w="100" w:type="dxa"/>
              <w:start w:w="100" w:type="dxa"/>
              <w:bottom w:w="100" w:type="dxa"/>
              <w:end w:w="100" w:type="dxa"/>
            </w:tcMar>
          </w:tcPr>
          <w:p>
            <w:pPr>
              <w:spacing w:after="40"/>
            </w:pPr>
            <w:r>
              <w:rPr>
                <w:rFonts w:ascii="Times New Roman" w:hAnsi="Times New Roman" w:eastAsia="Times New Roman"/>
                <w:b/>
                <w:i w:val="0"/>
                <w:color w:val="203764"/>
                <w:sz w:val="19"/>
              </w:rPr>
              <w:t>Interpretación clínica</w:t>
            </w:r>
          </w:p>
          <w:p>
            <w:pPr>
              <w:spacing w:after="0"/>
            </w:pPr>
            <w:r>
              <w:rPr>
                <w:rFonts w:ascii="Times New Roman" w:hAnsi="Times New Roman" w:eastAsia="Times New Roman"/>
                <w:b w:val="0"/>
                <w:i w:val="0"/>
                <w:sz w:val="18"/>
              </w:rPr>
              <w:t>La ausencia de glucosa, HbA1c u otros biomarcadores reduce el techo predictivo. Por ello, el modelo debe verse como apoyo de cribado y priorización, no como sustituto diagnóstico.</w:t>
            </w:r>
          </w:p>
        </w:tc>
      </w:tr>
    </w:tbl>
    <w:p>
      <w:pPr>
        <w:spacing w:before="0" w:after="40" w:line="240" w:lineRule="auto"/>
      </w:pPr>
    </w:p>
    <w:p>
      <w:pPr>
        <w:spacing w:before="0" w:after="80" w:line="240" w:lineRule="auto"/>
      </w:pPr>
      <w:r>
        <w:rPr>
          <w:rFonts w:ascii="Times New Roman" w:hAnsi="Times New Roman" w:eastAsia="Times New Roman"/>
          <w:b/>
          <w:i w:val="0"/>
          <w:sz w:val="17"/>
        </w:rPr>
        <w:t>Tabla 2.</w:t>
      </w:r>
      <w:r>
        <w:rPr>
          <w:rFonts w:ascii="Times New Roman" w:hAnsi="Times New Roman" w:eastAsia="Times New Roman"/>
          <w:b w:val="0"/>
          <w:i w:val="0"/>
          <w:sz w:val="17"/>
        </w:rPr>
        <w:t xml:space="preserve"> Predictores utilizados y lectura clínica general.</w:t>
      </w:r>
    </w:p>
    <w:tbl>
      <w:tblPr>
        <w:tblW w:type="dxa" w:w="4248"/>
        <w:tblLayout w:type="fixed"/>
        <w:tblLook w:firstColumn="1" w:firstRow="1" w:lastColumn="0" w:lastRow="0" w:noHBand="0" w:noVBand="1" w:val="04A0"/>
      </w:tblPr>
      <w:tblGrid>
        <w:gridCol w:w="1080"/>
        <w:gridCol w:w="1944"/>
        <w:gridCol w:w="1224"/>
      </w:tblGrid>
      <w:tr>
        <w:tc>
          <w:tcPr>
            <w:tcW w:type="dxa" w:w="108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3"/>
              </w:rPr>
              <w:t>Variable</w:t>
            </w:r>
          </w:p>
        </w:tc>
        <w:tc>
          <w:tcPr>
            <w:tcW w:type="dxa" w:w="1944"/>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3"/>
              </w:rPr>
              <w:t>Descripción</w:t>
            </w:r>
          </w:p>
        </w:tc>
        <w:tc>
          <w:tcPr>
            <w:tcW w:type="dxa" w:w="1224"/>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3"/>
              </w:rPr>
              <w:t>Lectura</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HighBP</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Presión arterial alta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factor cardiometabólico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HighChol</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Colesterol alto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factor cardiometabólico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CholCheck</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Revisión de colesterol</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seguimiento preventivo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BMI</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Índice de masa corporal</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riesgo antropométrico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Smoker</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Tabaquismo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hábito de riesgo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Stroke</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Antecedente de EVC</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comorbilidad</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HeartDiseaseorAttack</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Cardiopatía o infarto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comorbilidad</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PhysActivity</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Actividad física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protección conductual</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Fruits</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Consumo de frutas</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hábito alimentario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Veggies</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Consumo de verduras</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hábito alimentario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HvyAlcoholConsump</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Consumo intenso de alcohol</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hábito de riesgo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AnyHealthcare</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Acceso a atención médica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acceso al sistema</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NoDocbcCost</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Sin médico por costo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barrera económica</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GenHlth</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Salud general percibida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estado subjetivo</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MentHlth</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Días de salud mental afectada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bienestar</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PhysHlth</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Días de salud física afectada</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funcionalidad</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DiffWalk</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Dificultad para caminar</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movilidad</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Sex</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Sexo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demografía</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Age</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Grupo de edad</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demografía</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Education</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Escolaridad</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determinante social</w:t>
            </w:r>
          </w:p>
        </w:tc>
      </w:tr>
      <w:tr>
        <w:tc>
          <w:tcPr>
            <w:tcW w:type="dxa" w:w="108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3"/>
              </w:rPr>
              <w:t>Income</w:t>
            </w:r>
          </w:p>
        </w:tc>
        <w:tc>
          <w:tcPr>
            <w:tcW w:type="dxa" w:w="194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Ingreso</w:t>
            </w:r>
          </w:p>
        </w:tc>
        <w:tc>
          <w:tcPr>
            <w:tcW w:type="dxa" w:w="1224"/>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3"/>
              </w:rPr>
              <w:t>determinante social</w:t>
            </w:r>
          </w:p>
        </w:tc>
      </w:tr>
    </w:tbl>
    <w:p>
      <w:pPr>
        <w:spacing w:before="0" w:after="80" w:line="240" w:lineRule="auto"/>
      </w:pPr>
    </w:p>
    <w:p>
      <w:pPr>
        <w:keepNext/>
        <w:spacing w:before="160" w:after="60" w:line="240" w:lineRule="auto"/>
      </w:pPr>
      <w:r>
        <w:rPr>
          <w:rFonts w:ascii="Times New Roman" w:hAnsi="Times New Roman" w:eastAsia="Times New Roman"/>
          <w:b/>
          <w:i w:val="0"/>
          <w:color w:val="203764"/>
          <w:sz w:val="24"/>
        </w:rPr>
        <w:t>4. Metodología</w:t>
      </w:r>
    </w:p>
    <w:p>
      <w:pPr>
        <w:spacing w:before="0" w:after="60" w:line="240" w:lineRule="auto"/>
      </w:pPr>
      <w:r>
        <w:rPr>
          <w:rFonts w:ascii="Times New Roman" w:hAnsi="Times New Roman" w:eastAsia="Times New Roman"/>
          <w:b w:val="0"/>
          <w:i w:val="0"/>
          <w:sz w:val="22"/>
        </w:rPr>
        <w:t>El flujo experimental se diseñó para minimizar optimismo estadístico. La base se dividió en entrenamiento, validación y prueba con proporción 60/20/20. La selección de hiperparámetros y umbrales se realizó sin tocar el conjunto de prueba, que quedó reservado para la estimación final.</w:t>
      </w:r>
    </w:p>
    <w:p>
      <w:pPr>
        <w:spacing w:before="0" w:after="60" w:line="240" w:lineRule="auto"/>
      </w:pPr>
      <w:r>
        <w:rPr>
          <w:rFonts w:ascii="Times New Roman" w:hAnsi="Times New Roman" w:eastAsia="Times New Roman"/>
          <w:b w:val="0"/>
          <w:i w:val="0"/>
          <w:sz w:val="22"/>
        </w:rPr>
        <w:t>Se evaluaron nueve estimadores: regresión logística, Random Forest, Extra Trees, KNN, SVM, MLP, LightGBM, XGBoost e HistGradientBoosting. Se calcularon ROC-AUC, PR-AUC, Brier score, MCC, exactitud balanceada, F1, sensibilidad y especificidad. La calibración se comparó en versión original, Platt e isotónica.</w:t>
      </w:r>
    </w:p>
    <w:p>
      <w:pPr>
        <w:spacing w:before="0" w:after="60" w:line="240" w:lineRule="auto"/>
      </w:pPr>
      <w:r>
        <w:rPr>
          <w:rFonts w:ascii="Times New Roman" w:hAnsi="Times New Roman" w:eastAsia="Times New Roman"/>
          <w:b w:val="0"/>
          <w:i w:val="0"/>
          <w:sz w:val="22"/>
        </w:rPr>
        <w:t>La interpretación se realizó con importancia global y análisis SHAP para identificar factores de riesgo consistentes con conocimiento clínico. Las bandas de riesgo se definieron por probabilidad predicha para facilitar lectura médica y comunicación con pacientes.</w:t>
      </w:r>
    </w:p>
    <w:p>
      <w:pPr>
        <w:keepNext/>
        <w:spacing w:before="100" w:after="60" w:line="240" w:lineRule="auto"/>
      </w:pPr>
      <w:r>
        <w:rPr>
          <w:rFonts w:ascii="Times New Roman" w:hAnsi="Times New Roman" w:eastAsia="Times New Roman"/>
          <w:b/>
          <w:i w:val="0"/>
          <w:sz w:val="21"/>
        </w:rPr>
        <w:t>4.1 Preparación y control de calidad</w:t>
      </w:r>
    </w:p>
    <w:p>
      <w:pPr>
        <w:spacing w:before="0" w:after="60" w:line="240" w:lineRule="auto"/>
      </w:pPr>
      <w:r>
        <w:rPr>
          <w:rFonts w:ascii="Times New Roman" w:hAnsi="Times New Roman" w:eastAsia="Times New Roman"/>
          <w:b w:val="0"/>
          <w:i w:val="0"/>
          <w:sz w:val="22"/>
        </w:rPr>
        <w:t>Las variables se conservaron en formato numérico para mantener trazabilidad respecto al diccionario original del BRFSS. No se eliminaron observaciones duplicadas porque la base pública conserva respuestas agregadas con combinaciones repetidas de factores; retirarlas sin una regla epidemiológica explícita habría alterado la distribución reportada.</w:t>
      </w:r>
    </w:p>
    <w:p>
      <w:pPr>
        <w:spacing w:before="0" w:after="60" w:line="240" w:lineRule="auto"/>
      </w:pPr>
      <w:r>
        <w:rPr>
          <w:rFonts w:ascii="Times New Roman" w:hAnsi="Times New Roman" w:eastAsia="Times New Roman"/>
          <w:b w:val="0"/>
          <w:i w:val="0"/>
          <w:sz w:val="22"/>
        </w:rPr>
        <w:t>El desbalance de clases se trató desde la evaluación y no mediante reetiquetado artificial del conjunto de prueba. La prevalencia de 13.9% implica que métricas como exactitud pueden ser engañosas: un clasificador sesgado hacia la clase negativa puede parecer competitivo aunque no detecte suficientes casos de riesgo.</w:t>
      </w:r>
    </w:p>
    <w:p>
      <w:pPr>
        <w:spacing w:before="0" w:after="60" w:line="240" w:lineRule="auto"/>
      </w:pPr>
      <w:r>
        <w:rPr>
          <w:rFonts w:ascii="Times New Roman" w:hAnsi="Times New Roman" w:eastAsia="Times New Roman"/>
          <w:b w:val="0"/>
          <w:i w:val="0"/>
          <w:sz w:val="22"/>
        </w:rPr>
        <w:t>El preprocesamiento fue deliberadamente simple. La regresión logística representa un baseline interpretable, mientras que los modelos de ensamble capturan interacciones no lineales entre edad, índice de masa corporal, hipertensión, colesterol, salud general y movilidad. Esta comparación permite aislar el efecto de complejidad del modelo frente a la calidad de variables.</w:t>
      </w:r>
    </w:p>
    <w:p>
      <w:pPr>
        <w:keepNext/>
        <w:spacing w:before="100" w:after="60" w:line="240" w:lineRule="auto"/>
      </w:pPr>
      <w:r>
        <w:rPr>
          <w:rFonts w:ascii="Times New Roman" w:hAnsi="Times New Roman" w:eastAsia="Times New Roman"/>
          <w:b/>
          <w:i w:val="0"/>
          <w:sz w:val="21"/>
        </w:rPr>
        <w:t>4.2 Métricas y umbrales clínicos</w:t>
      </w:r>
    </w:p>
    <w:p>
      <w:pPr>
        <w:spacing w:before="0" w:after="60" w:line="240" w:lineRule="auto"/>
      </w:pPr>
      <w:r>
        <w:rPr>
          <w:rFonts w:ascii="Times New Roman" w:hAnsi="Times New Roman" w:eastAsia="Times New Roman"/>
          <w:b w:val="0"/>
          <w:i w:val="0"/>
          <w:sz w:val="22"/>
        </w:rPr>
        <w:t>ROC-AUC se utilizó para medir discriminación global, mientras que PR-AUC fue incorporada por la naturaleza desbalanceada del problema. MCC se reportó como métrica robusta para clasificación binaria porque penaliza simultáneamente falsos positivos y falsos negativos. Brier score y ECE cuantificaron la calidad de las probabilidades.</w:t>
      </w:r>
    </w:p>
    <w:p>
      <w:pPr>
        <w:spacing w:before="0" w:after="60" w:line="240" w:lineRule="auto"/>
      </w:pPr>
      <w:r>
        <w:rPr>
          <w:rFonts w:ascii="Times New Roman" w:hAnsi="Times New Roman" w:eastAsia="Times New Roman"/>
          <w:b w:val="0"/>
          <w:i w:val="0"/>
          <w:sz w:val="22"/>
        </w:rPr>
        <w:t>Los umbrales de decisión no deben fijarse únicamente por maximización matemática. En tamizaje clínico, un umbral sensible puede ser preferible para no omitir pacientes de alto riesgo, siempre que la interfaz explique que el resultado requiere confirmación médica. Por ello, las bandas de riesgo son más útiles que una salida binaria.</w:t>
      </w:r>
    </w:p>
    <w:p>
      <w:pPr>
        <w:keepNext/>
        <w:spacing w:before="100" w:after="60" w:line="240" w:lineRule="auto"/>
      </w:pPr>
      <w:r>
        <w:rPr>
          <w:rFonts w:ascii="Times New Roman" w:hAnsi="Times New Roman" w:eastAsia="Times New Roman"/>
          <w:b/>
          <w:i w:val="0"/>
          <w:sz w:val="21"/>
        </w:rPr>
        <w:t>4.3 Prevención de fuga de información</w:t>
      </w:r>
    </w:p>
    <w:p>
      <w:pPr>
        <w:spacing w:before="0" w:after="60" w:line="240" w:lineRule="auto"/>
      </w:pPr>
      <w:r>
        <w:rPr>
          <w:rFonts w:ascii="Times New Roman" w:hAnsi="Times New Roman" w:eastAsia="Times New Roman"/>
          <w:b w:val="0"/>
          <w:i w:val="0"/>
          <w:sz w:val="22"/>
        </w:rPr>
        <w:t>Se evitó usar variables que representaran directamente el diagnóstico o mediciones posteriores al evento objetivo. La separación de entrenamiento, validación y prueba reduce el riesgo de ajustar decisiones sobre el mismo conjunto con el que se reporta desempeño final.</w:t>
      </w:r>
    </w:p>
    <w:p>
      <w:pPr>
        <w:spacing w:before="0" w:after="60" w:line="240" w:lineRule="auto"/>
      </w:pPr>
      <w:r>
        <w:rPr>
          <w:rFonts w:ascii="Times New Roman" w:hAnsi="Times New Roman" w:eastAsia="Times New Roman"/>
          <w:b w:val="0"/>
          <w:i w:val="0"/>
          <w:sz w:val="22"/>
        </w:rPr>
        <w:t>La reproducibilidad se fortaleció al documentar particiones, métricas, figuras y tablas generadas. Esta práctica es importante en modelos clínicos porque pequeñas decisiones de preparación pueden producir diferencias relevantes en AUC, calibración o sensibilidad.</w:t>
      </w:r>
    </w:p>
    <w:p>
      <w:pPr>
        <w:jc w:val="center"/>
      </w:pPr>
      <w:r>
        <w:drawing>
          <wp:inline xmlns:a="http://schemas.openxmlformats.org/drawingml/2006/main" xmlns:pic="http://schemas.openxmlformats.org/drawingml/2006/picture">
            <wp:extent cx="2743200" cy="2018734"/>
            <wp:docPr id="2" name="Picture 2"/>
            <wp:cNvGraphicFramePr>
              <a:graphicFrameLocks noChangeAspect="1"/>
            </wp:cNvGraphicFramePr>
            <a:graphic>
              <a:graphicData uri="http://schemas.openxmlformats.org/drawingml/2006/picture">
                <pic:pic>
                  <pic:nvPicPr>
                    <pic:cNvPr id="0" name="roc_auc_bar.png"/>
                    <pic:cNvPicPr/>
                  </pic:nvPicPr>
                  <pic:blipFill>
                    <a:blip r:embed="rId54"/>
                    <a:stretch>
                      <a:fillRect/>
                    </a:stretch>
                  </pic:blipFill>
                  <pic:spPr>
                    <a:xfrm>
                      <a:off x="0" y="0"/>
                      <a:ext cx="2743200" cy="2018734"/>
                    </a:xfrm>
                    <a:prstGeom prst="rect"/>
                  </pic:spPr>
                </pic:pic>
              </a:graphicData>
            </a:graphic>
          </wp:inline>
        </w:drawing>
      </w:r>
    </w:p>
    <w:p>
      <w:pPr>
        <w:spacing w:before="0" w:after="80" w:line="240" w:lineRule="auto"/>
      </w:pPr>
      <w:r>
        <w:rPr>
          <w:rFonts w:ascii="Times New Roman" w:hAnsi="Times New Roman" w:eastAsia="Times New Roman"/>
          <w:b/>
          <w:i w:val="0"/>
          <w:sz w:val="17"/>
        </w:rPr>
        <w:t>Figura 1.</w:t>
      </w:r>
      <w:r>
        <w:rPr>
          <w:rFonts w:ascii="Times New Roman" w:hAnsi="Times New Roman" w:eastAsia="Times New Roman"/>
          <w:b w:val="0"/>
          <w:i w:val="0"/>
          <w:sz w:val="17"/>
        </w:rPr>
        <w:t xml:space="preserve"> Comparación de ROC-AUC entre modelos evaluados. Fuente: elaboración propia con BRFSS 2015.</w:t>
      </w:r>
    </w:p>
    <w:p>
      <w:pPr>
        <w:keepNext/>
        <w:spacing w:before="160" w:after="60" w:line="240" w:lineRule="auto"/>
      </w:pPr>
      <w:r>
        <w:rPr>
          <w:rFonts w:ascii="Times New Roman" w:hAnsi="Times New Roman" w:eastAsia="Times New Roman"/>
          <w:b/>
          <w:i w:val="0"/>
          <w:color w:val="203764"/>
          <w:sz w:val="24"/>
        </w:rPr>
        <w:t>5. Resultados experimentales</w:t>
      </w:r>
    </w:p>
    <w:p>
      <w:pPr>
        <w:spacing w:before="0" w:after="60" w:line="240" w:lineRule="auto"/>
      </w:pPr>
      <w:r>
        <w:rPr>
          <w:rFonts w:ascii="Times New Roman" w:hAnsi="Times New Roman" w:eastAsia="Times New Roman"/>
          <w:b w:val="0"/>
          <w:i w:val="0"/>
          <w:sz w:val="22"/>
        </w:rPr>
        <w:t>Los modelos basados en gradiente lograron el mejor ROC-AUC, pero la diferencia frente a regresión logística fue pequeña. HistGradientBoosting y XGBoost alcanzaron 0.8268, mientras que regresión logística obtuvo 0.8197. Esta brecha de 0.007 sugiere que la ganancia práctica proviene menos de complejidad algorítmica y más de contar con mejores variables clínicas.</w:t>
      </w:r>
    </w:p>
    <w:p>
      <w:pPr>
        <w:spacing w:before="0" w:after="80" w:line="240" w:lineRule="auto"/>
      </w:pPr>
      <w:r>
        <w:rPr>
          <w:rFonts w:ascii="Times New Roman" w:hAnsi="Times New Roman" w:eastAsia="Times New Roman"/>
          <w:b/>
          <w:i w:val="0"/>
          <w:sz w:val="17"/>
        </w:rPr>
        <w:t>Tabla 3.</w:t>
      </w:r>
      <w:r>
        <w:rPr>
          <w:rFonts w:ascii="Times New Roman" w:hAnsi="Times New Roman" w:eastAsia="Times New Roman"/>
          <w:b w:val="0"/>
          <w:i w:val="0"/>
          <w:sz w:val="17"/>
        </w:rPr>
        <w:t xml:space="preserve"> Comparación resumida de modelos en conjunto de prueba.</w:t>
      </w:r>
    </w:p>
    <w:tbl>
      <w:tblPr>
        <w:tblW w:type="dxa" w:w="4320"/>
        <w:tblLayout w:type="fixed"/>
        <w:tblLook w:firstColumn="1" w:firstRow="1" w:lastColumn="0" w:lastRow="0" w:noHBand="0" w:noVBand="1" w:val="04A0"/>
      </w:tblPr>
      <w:tblGrid>
        <w:gridCol w:w="1296"/>
        <w:gridCol w:w="792"/>
        <w:gridCol w:w="792"/>
        <w:gridCol w:w="720"/>
        <w:gridCol w:w="720"/>
      </w:tblGrid>
      <w:tr>
        <w:tc>
          <w:tcPr>
            <w:tcW w:type="dxa" w:w="1296"/>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4"/>
              </w:rPr>
              <w:t>Modelo</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4"/>
              </w:rPr>
              <w:t>ROC-AUC</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4"/>
              </w:rPr>
              <w:t>PR-AUC</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4"/>
              </w:rPr>
              <w:t>MCC</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4"/>
              </w:rPr>
              <w:t>Brier</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Hist Gradient Boosting</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0.8268</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0.4233</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0.2461</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0.0974</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Xgboost</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0.8268</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0.4232</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0.2356</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0.0974</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Lightgbm</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0.8265</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0.4237</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0.2471</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0.0974</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Random Forest</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0.8237</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0.4180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0.2133</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0.0979</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Mlp</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0.8232</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0.4122</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0.2236</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0.0982</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Logistic Regression</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0.8197</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0.3925</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0.3558</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0.1773</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Extra Trees</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0.8190</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0.4087</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0.1865</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0.0989</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Knn</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0.7947</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0.3595</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0.1494</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0.1023</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4"/>
              </w:rPr>
              <w:t>Svm</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0.6834</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0.3220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0.1228</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4"/>
              </w:rPr>
              <w:t>0.1135</w:t>
            </w:r>
          </w:p>
        </w:tc>
      </w:tr>
    </w:tbl>
    <w:p>
      <w:pPr>
        <w:spacing w:before="0" w:after="80" w:line="240" w:lineRule="auto"/>
      </w:pPr>
    </w:p>
    <w:p>
      <w:pPr>
        <w:jc w:val="center"/>
      </w:pPr>
      <w:r>
        <w:drawing>
          <wp:inline xmlns:a="http://schemas.openxmlformats.org/drawingml/2006/main" xmlns:pic="http://schemas.openxmlformats.org/drawingml/2006/picture">
            <wp:extent cx="2743200" cy="2461466"/>
            <wp:docPr id="3" name="Picture 3"/>
            <wp:cNvGraphicFramePr>
              <a:graphicFrameLocks noChangeAspect="1"/>
            </wp:cNvGraphicFramePr>
            <a:graphic>
              <a:graphicData uri="http://schemas.openxmlformats.org/drawingml/2006/picture">
                <pic:pic>
                  <pic:nvPicPr>
                    <pic:cNvPr id="0" name="roc_all.png"/>
                    <pic:cNvPicPr/>
                  </pic:nvPicPr>
                  <pic:blipFill>
                    <a:blip r:embed="rId55"/>
                    <a:stretch>
                      <a:fillRect/>
                    </a:stretch>
                  </pic:blipFill>
                  <pic:spPr>
                    <a:xfrm>
                      <a:off x="0" y="0"/>
                      <a:ext cx="2743200" cy="2461466"/>
                    </a:xfrm>
                    <a:prstGeom prst="rect"/>
                  </pic:spPr>
                </pic:pic>
              </a:graphicData>
            </a:graphic>
          </wp:inline>
        </w:drawing>
      </w:r>
    </w:p>
    <w:p>
      <w:pPr>
        <w:spacing w:before="0" w:after="80" w:line="240" w:lineRule="auto"/>
      </w:pPr>
      <w:r>
        <w:rPr>
          <w:rFonts w:ascii="Times New Roman" w:hAnsi="Times New Roman" w:eastAsia="Times New Roman"/>
          <w:b/>
          <w:i w:val="0"/>
          <w:sz w:val="17"/>
        </w:rPr>
        <w:t>Figura 2.</w:t>
      </w:r>
      <w:r>
        <w:rPr>
          <w:rFonts w:ascii="Times New Roman" w:hAnsi="Times New Roman" w:eastAsia="Times New Roman"/>
          <w:b w:val="0"/>
          <w:i w:val="0"/>
          <w:sz w:val="17"/>
        </w:rPr>
        <w:t xml:space="preserve"> Curvas ROC del benchmark. Fuente: elaboración propia.</w:t>
      </w:r>
    </w:p>
    <w:p>
      <w:pPr>
        <w:keepNext/>
        <w:spacing w:before="160" w:after="60" w:line="240" w:lineRule="auto"/>
      </w:pPr>
      <w:r>
        <w:rPr>
          <w:rFonts w:ascii="Times New Roman" w:hAnsi="Times New Roman" w:eastAsia="Times New Roman"/>
          <w:b/>
          <w:i w:val="0"/>
          <w:color w:val="203764"/>
          <w:sz w:val="24"/>
        </w:rPr>
        <w:t>5.1 Calibración</w:t>
      </w:r>
    </w:p>
    <w:p>
      <w:pPr>
        <w:spacing w:before="0" w:after="60" w:line="240" w:lineRule="auto"/>
      </w:pPr>
      <w:r>
        <w:rPr>
          <w:rFonts w:ascii="Times New Roman" w:hAnsi="Times New Roman" w:eastAsia="Times New Roman"/>
          <w:b w:val="0"/>
          <w:i w:val="0"/>
          <w:sz w:val="22"/>
        </w:rPr>
        <w:t>La calibración fue evaluada porque en contextos clínicos una probabilidad mal calibrada puede inducir decisiones equivocadas aun si el ordenamiento por riesgo es aceptable. La calibración isotónica mantuvo Brier score competitivo y redujo ECE en prueba a 0.0029.</w:t>
      </w:r>
    </w:p>
    <w:p>
      <w:pPr>
        <w:spacing w:before="0" w:after="80" w:line="240" w:lineRule="auto"/>
      </w:pPr>
      <w:r>
        <w:rPr>
          <w:rFonts w:ascii="Times New Roman" w:hAnsi="Times New Roman" w:eastAsia="Times New Roman"/>
          <w:b/>
          <w:i w:val="0"/>
          <w:sz w:val="17"/>
        </w:rPr>
        <w:t>Tabla 4.</w:t>
      </w:r>
      <w:r>
        <w:rPr>
          <w:rFonts w:ascii="Times New Roman" w:hAnsi="Times New Roman" w:eastAsia="Times New Roman"/>
          <w:b w:val="0"/>
          <w:i w:val="0"/>
          <w:sz w:val="17"/>
        </w:rPr>
        <w:t xml:space="preserve"> Calibración del mejor modelo.</w:t>
      </w:r>
    </w:p>
    <w:tbl>
      <w:tblPr>
        <w:tblW w:type="dxa" w:w="4320"/>
        <w:tblLayout w:type="fixed"/>
        <w:tblLook w:firstColumn="1" w:firstRow="1" w:lastColumn="0" w:lastRow="0" w:noHBand="0" w:noVBand="1" w:val="04A0"/>
      </w:tblPr>
      <w:tblGrid>
        <w:gridCol w:w="1296"/>
        <w:gridCol w:w="792"/>
        <w:gridCol w:w="792"/>
        <w:gridCol w:w="720"/>
        <w:gridCol w:w="720"/>
      </w:tblGrid>
      <w:tr>
        <w:tc>
          <w:tcPr>
            <w:tcW w:type="dxa" w:w="1296"/>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Método</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Brier val.</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ECE val.</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Brier test</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ECE test</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Original</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0.0968</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0.0040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0.0974</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0.0044</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Platt</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0.0985</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0.0257</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0.0995</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0.0285</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Isotónica</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0.0965</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0.0000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0.0975</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0.0029</w:t>
            </w:r>
          </w:p>
        </w:tc>
      </w:tr>
    </w:tbl>
    <w:p>
      <w:pPr>
        <w:spacing w:before="0" w:after="80" w:line="240" w:lineRule="auto"/>
      </w:pPr>
    </w:p>
    <w:p>
      <w:pPr>
        <w:jc w:val="center"/>
      </w:pPr>
      <w:r>
        <w:drawing>
          <wp:inline xmlns:a="http://schemas.openxmlformats.org/drawingml/2006/main" xmlns:pic="http://schemas.openxmlformats.org/drawingml/2006/picture">
            <wp:extent cx="2514600" cy="2301046"/>
            <wp:docPr id="4" name="Picture 4"/>
            <wp:cNvGraphicFramePr>
              <a:graphicFrameLocks noChangeAspect="1"/>
            </wp:cNvGraphicFramePr>
            <a:graphic>
              <a:graphicData uri="http://schemas.openxmlformats.org/drawingml/2006/picture">
                <pic:pic>
                  <pic:nvPicPr>
                    <pic:cNvPr id="0" name="calib_xgboost.png"/>
                    <pic:cNvPicPr/>
                  </pic:nvPicPr>
                  <pic:blipFill>
                    <a:blip r:embed="rId56"/>
                    <a:stretch>
                      <a:fillRect/>
                    </a:stretch>
                  </pic:blipFill>
                  <pic:spPr>
                    <a:xfrm>
                      <a:off x="0" y="0"/>
                      <a:ext cx="2514600" cy="2301046"/>
                    </a:xfrm>
                    <a:prstGeom prst="rect"/>
                  </pic:spPr>
                </pic:pic>
              </a:graphicData>
            </a:graphic>
          </wp:inline>
        </w:drawing>
      </w:r>
    </w:p>
    <w:p>
      <w:pPr>
        <w:spacing w:before="0" w:after="80" w:line="240" w:lineRule="auto"/>
      </w:pPr>
      <w:r>
        <w:rPr>
          <w:rFonts w:ascii="Times New Roman" w:hAnsi="Times New Roman" w:eastAsia="Times New Roman"/>
          <w:b/>
          <w:i w:val="0"/>
          <w:sz w:val="17"/>
        </w:rPr>
        <w:t>Figura 3.</w:t>
      </w:r>
      <w:r>
        <w:rPr>
          <w:rFonts w:ascii="Times New Roman" w:hAnsi="Times New Roman" w:eastAsia="Times New Roman"/>
          <w:b w:val="0"/>
          <w:i w:val="0"/>
          <w:sz w:val="17"/>
        </w:rPr>
        <w:t xml:space="preserve"> Curva de calibración de XGBoost. Fuente: elaboración propia.</w:t>
      </w:r>
    </w:p>
    <w:p>
      <w:pPr>
        <w:keepNext/>
        <w:spacing w:before="160" w:after="60" w:line="240" w:lineRule="auto"/>
      </w:pPr>
      <w:r>
        <w:rPr>
          <w:rFonts w:ascii="Times New Roman" w:hAnsi="Times New Roman" w:eastAsia="Times New Roman"/>
          <w:b/>
          <w:i w:val="0"/>
          <w:color w:val="203764"/>
          <w:sz w:val="24"/>
        </w:rPr>
        <w:t>5.2 Bandas de riesgo</w:t>
      </w:r>
    </w:p>
    <w:p>
      <w:pPr>
        <w:spacing w:before="0" w:after="60" w:line="240" w:lineRule="auto"/>
      </w:pPr>
      <w:r>
        <w:rPr>
          <w:rFonts w:ascii="Times New Roman" w:hAnsi="Times New Roman" w:eastAsia="Times New Roman"/>
          <w:b w:val="0"/>
          <w:i w:val="0"/>
          <w:sz w:val="22"/>
        </w:rPr>
        <w:t>Las bandas de riesgo convierten probabilidades en categorías accionables. El grupo de riesgo bajo presentó 2.9% de prevalencia observada, mientras que el grupo muy alto alcanzó 48.0%. La razón de momios del grupo muy alto fue 30.7 frente al grupo bajo.</w:t>
      </w:r>
    </w:p>
    <w:p>
      <w:pPr>
        <w:spacing w:before="0" w:after="80" w:line="240" w:lineRule="auto"/>
      </w:pPr>
      <w:r>
        <w:rPr>
          <w:rFonts w:ascii="Times New Roman" w:hAnsi="Times New Roman" w:eastAsia="Times New Roman"/>
          <w:b/>
          <w:i w:val="0"/>
          <w:sz w:val="17"/>
        </w:rPr>
        <w:t>Tabla 5.</w:t>
      </w:r>
      <w:r>
        <w:rPr>
          <w:rFonts w:ascii="Times New Roman" w:hAnsi="Times New Roman" w:eastAsia="Times New Roman"/>
          <w:b w:val="0"/>
          <w:i w:val="0"/>
          <w:sz w:val="17"/>
        </w:rPr>
        <w:t xml:space="preserve"> Prevalencia observada por banda de riesgo.</w:t>
      </w:r>
    </w:p>
    <w:tbl>
      <w:tblPr>
        <w:tblW w:type="dxa" w:w="4320"/>
        <w:tblLayout w:type="fixed"/>
        <w:tblLook w:firstColumn="1" w:firstRow="1" w:lastColumn="0" w:lastRow="0" w:noHBand="0" w:noVBand="1" w:val="04A0"/>
      </w:tblPr>
      <w:tblGrid>
        <w:gridCol w:w="1296"/>
        <w:gridCol w:w="792"/>
        <w:gridCol w:w="792"/>
        <w:gridCol w:w="720"/>
        <w:gridCol w:w="720"/>
      </w:tblGrid>
      <w:tr>
        <w:tc>
          <w:tcPr>
            <w:tcW w:type="dxa" w:w="1296"/>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Banda</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n</w:t>
            </w:r>
          </w:p>
        </w:tc>
        <w:tc>
          <w:tcPr>
            <w:tcW w:type="dxa" w:w="792"/>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Prev.</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OR</w:t>
            </w:r>
          </w:p>
        </w:tc>
        <w:tc>
          <w:tcPr>
            <w:tcW w:type="dxa" w:w="720"/>
            <w:shd w:fill="1F4E79"/>
            <w:tcBorders>
              <w:top w:val="single" w:sz="4" w:space="0" w:color="4F81BD"/>
              <w:left w:val="single" w:sz="4" w:space="0" w:color="4F81BD"/>
              <w:bottom w:val="single" w:sz="4" w:space="0" w:color="4F81BD"/>
              <w:right w:val="single" w:sz="4" w:space="0" w:color="4F81BD"/>
              <w:insideH w:val="single" w:sz="4" w:space="0" w:color="4F81BD"/>
              <w:insideV w:val="single" w:sz="4" w:space="0" w:color="4F81BD"/>
            </w:tcBorders>
            <w:tcMar>
              <w:top w:w="70" w:type="dxa"/>
              <w:start w:w="70" w:type="dxa"/>
              <w:bottom w:w="70" w:type="dxa"/>
              <w:end w:w="70" w:type="dxa"/>
            </w:tcMar>
          </w:tcPr>
          <w:p>
            <w:pPr>
              <w:jc w:val="center"/>
            </w:pPr>
            <w:r/>
            <w:r>
              <w:rPr>
                <w:rFonts w:ascii="Times New Roman" w:hAnsi="Times New Roman" w:eastAsia="Times New Roman"/>
                <w:b/>
                <w:i w:val="0"/>
                <w:color w:val="FFFFFF"/>
                <w:sz w:val="15"/>
              </w:rPr>
              <w:t>RR</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Bajo</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26,149</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2.9%</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1.0</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Moderado</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11,877</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14.2%</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5.5 [5.0, 6.0]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4.9</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Alto</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7,844</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29.1%</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13.7 [12.5, 14.9]</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10.0</w:t>
            </w:r>
          </w:p>
        </w:tc>
      </w:tr>
      <w:tr>
        <w:tc>
          <w:tcPr>
            <w:tcW w:type="dxa" w:w="1296"/>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left"/>
            </w:pPr>
            <w:r/>
            <w:r>
              <w:rPr>
                <w:rFonts w:ascii="Times New Roman" w:hAnsi="Times New Roman" w:eastAsia="Times New Roman"/>
                <w:b w:val="0"/>
                <w:i w:val="0"/>
                <w:sz w:val="15"/>
              </w:rPr>
              <w:t>Muy alto</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4,866</w:t>
            </w:r>
          </w:p>
        </w:tc>
        <w:tc>
          <w:tcPr>
            <w:tcW w:type="dxa" w:w="792"/>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48.0%</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30.7 [28.0, 33.6]</w:t>
            </w:r>
          </w:p>
        </w:tc>
        <w:tc>
          <w:tcPr>
            <w:tcW w:type="dxa" w:w="720"/>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Mar>
              <w:top w:w="70" w:type="dxa"/>
              <w:start w:w="70" w:type="dxa"/>
              <w:bottom w:w="70" w:type="dxa"/>
              <w:end w:w="70" w:type="dxa"/>
            </w:tcMar>
            <w:vAlign w:val="center"/>
          </w:tcPr>
          <w:p>
            <w:pPr>
              <w:jc w:val="center"/>
            </w:pPr>
            <w:r/>
            <w:r>
              <w:rPr>
                <w:rFonts w:ascii="Times New Roman" w:hAnsi="Times New Roman" w:eastAsia="Times New Roman"/>
                <w:b w:val="0"/>
                <w:i w:val="0"/>
                <w:sz w:val="15"/>
              </w:rPr>
              <w:t>16.4</w:t>
            </w:r>
          </w:p>
        </w:tc>
      </w:tr>
    </w:tbl>
    <w:p>
      <w:pPr>
        <w:spacing w:before="0" w:after="80" w:line="240" w:lineRule="auto"/>
      </w:pPr>
    </w:p>
    <w:p>
      <w:pPr>
        <w:keepNext/>
        <w:spacing w:before="100" w:after="60" w:line="240" w:lineRule="auto"/>
      </w:pPr>
      <w:r>
        <w:rPr>
          <w:rFonts w:ascii="Times New Roman" w:hAnsi="Times New Roman" w:eastAsia="Times New Roman"/>
          <w:b/>
          <w:i w:val="0"/>
          <w:sz w:val="21"/>
        </w:rPr>
        <w:t>5.3 Lectura interpretativa</w:t>
      </w:r>
    </w:p>
    <w:p>
      <w:pPr>
        <w:spacing w:before="0" w:after="60" w:line="240" w:lineRule="auto"/>
      </w:pPr>
      <w:r>
        <w:rPr>
          <w:rFonts w:ascii="Times New Roman" w:hAnsi="Times New Roman" w:eastAsia="Times New Roman"/>
          <w:b w:val="0"/>
          <w:i w:val="0"/>
          <w:sz w:val="22"/>
        </w:rPr>
        <w:t>La lectura de los resultados coincide con conocimiento clínico básico: edad, índice de masa corporal, hipertensión, colesterol alto, salud general percibida y dificultad para caminar concentran información predictiva. Esto no significa causalidad individual, pero sí ofrece señales comunicables para orientar educación y seguimiento.</w:t>
      </w:r>
    </w:p>
    <w:p>
      <w:pPr>
        <w:spacing w:before="0" w:after="60" w:line="240" w:lineRule="auto"/>
      </w:pPr>
      <w:r>
        <w:rPr>
          <w:rFonts w:ascii="Times New Roman" w:hAnsi="Times New Roman" w:eastAsia="Times New Roman"/>
          <w:b w:val="0"/>
          <w:i w:val="0"/>
          <w:sz w:val="22"/>
        </w:rPr>
        <w:t>La explicabilidad cumple dos funciones. Primero, permite detectar si el modelo aprende patrones clínicamente plausibles o artefactos de los datos. Segundo, ayuda al médico a explicar por qué una persona aparece en una banda de riesgo y qué factores podrían atenderse con intervención preventiva.</w:t>
      </w:r>
    </w:p>
    <w:p>
      <w:pPr>
        <w:spacing w:before="0" w:after="60" w:line="240" w:lineRule="auto"/>
      </w:pPr>
      <w:r>
        <w:rPr>
          <w:rFonts w:ascii="Times New Roman" w:hAnsi="Times New Roman" w:eastAsia="Times New Roman"/>
          <w:b w:val="0"/>
          <w:i w:val="0"/>
          <w:sz w:val="22"/>
        </w:rPr>
        <w:t>En un despliegue real, cada predicción debería acompañarse de fecha, versión del modelo, variables disponibles, factores principales y advertencia de uso. La trazabilidad es especialmente importante cuando el sistema se conecta con expediente clínico o genera recomendaciones dentro de una app móvil.</w:t>
      </w:r>
    </w:p>
    <w:p>
      <w:pPr>
        <w:jc w:val="center"/>
      </w:pPr>
      <w:r>
        <w:drawing>
          <wp:inline xmlns:a="http://schemas.openxmlformats.org/drawingml/2006/main" xmlns:pic="http://schemas.openxmlformats.org/drawingml/2006/picture">
            <wp:extent cx="2651760" cy="2426078"/>
            <wp:docPr id="5" name="Picture 5"/>
            <wp:cNvGraphicFramePr>
              <a:graphicFrameLocks noChangeAspect="1"/>
            </wp:cNvGraphicFramePr>
            <a:graphic>
              <a:graphicData uri="http://schemas.openxmlformats.org/drawingml/2006/picture">
                <pic:pic>
                  <pic:nvPicPr>
                    <pic:cNvPr id="0" name="pr_xgboost.png"/>
                    <pic:cNvPicPr/>
                  </pic:nvPicPr>
                  <pic:blipFill>
                    <a:blip r:embed="rId57"/>
                    <a:stretch>
                      <a:fillRect/>
                    </a:stretch>
                  </pic:blipFill>
                  <pic:spPr>
                    <a:xfrm>
                      <a:off x="0" y="0"/>
                      <a:ext cx="2651760" cy="2426078"/>
                    </a:xfrm>
                    <a:prstGeom prst="rect"/>
                  </pic:spPr>
                </pic:pic>
              </a:graphicData>
            </a:graphic>
          </wp:inline>
        </w:drawing>
      </w:r>
    </w:p>
    <w:p>
      <w:pPr>
        <w:spacing w:before="0" w:after="80" w:line="240" w:lineRule="auto"/>
      </w:pPr>
      <w:r>
        <w:rPr>
          <w:rFonts w:ascii="Times New Roman" w:hAnsi="Times New Roman" w:eastAsia="Times New Roman"/>
          <w:b/>
          <w:i w:val="0"/>
          <w:sz w:val="17"/>
        </w:rPr>
        <w:t>Figura 4.</w:t>
      </w:r>
      <w:r>
        <w:rPr>
          <w:rFonts w:ascii="Times New Roman" w:hAnsi="Times New Roman" w:eastAsia="Times New Roman"/>
          <w:b w:val="0"/>
          <w:i w:val="0"/>
          <w:sz w:val="17"/>
        </w:rPr>
        <w:t xml:space="preserve"> Curva precisión-recobrado para XGBoost. Fuente: elaboración propia.</w:t>
      </w:r>
    </w:p>
    <w:p>
      <w:pPr>
        <w:keepNext/>
        <w:spacing w:before="100" w:after="60" w:line="240" w:lineRule="auto"/>
      </w:pPr>
      <w:r>
        <w:rPr>
          <w:rFonts w:ascii="Times New Roman" w:hAnsi="Times New Roman" w:eastAsia="Times New Roman"/>
          <w:b/>
          <w:i w:val="0"/>
          <w:sz w:val="21"/>
        </w:rPr>
        <w:t>5.4 Implicaciones para PREDIA</w:t>
      </w:r>
    </w:p>
    <w:p>
      <w:pPr>
        <w:spacing w:before="0" w:after="60" w:line="240" w:lineRule="auto"/>
      </w:pPr>
      <w:r>
        <w:rPr>
          <w:rFonts w:ascii="Times New Roman" w:hAnsi="Times New Roman" w:eastAsia="Times New Roman"/>
          <w:b w:val="0"/>
          <w:i w:val="0"/>
          <w:sz w:val="22"/>
        </w:rPr>
        <w:t>El benchmark aporta una base para la capa predictiva de PREDIA, pero su valor aumenta al integrarse con el producto: dashboard clínico, agenda, expediente, signos vitales, alertas y app móvil del paciente. La predicción debe convertirse en tareas concretas, no quedarse como número aislado.</w:t>
      </w:r>
    </w:p>
    <w:p>
      <w:pPr>
        <w:spacing w:before="0" w:after="60" w:line="240" w:lineRule="auto"/>
      </w:pPr>
      <w:r>
        <w:rPr>
          <w:rFonts w:ascii="Times New Roman" w:hAnsi="Times New Roman" w:eastAsia="Times New Roman"/>
          <w:b w:val="0"/>
          <w:i w:val="0"/>
          <w:sz w:val="22"/>
        </w:rPr>
        <w:t>En el perfil médico, la banda de riesgo puede priorizar citas, sugerir revisión de signos vitales y mostrar factores explicativos. En el perfil paciente, la misma información debe expresarse con lenguaje no alarmista, educación preventiva y recordatorios de seguimiento. Esta separación de experiencias reduce riesgo de interpretación incorrecta.</w:t>
      </w:r>
    </w:p>
    <w:p>
      <w:pPr>
        <w:keepNext/>
        <w:spacing w:before="160" w:after="60" w:line="240" w:lineRule="auto"/>
      </w:pPr>
      <w:r>
        <w:rPr>
          <w:rFonts w:ascii="Times New Roman" w:hAnsi="Times New Roman" w:eastAsia="Times New Roman"/>
          <w:b/>
          <w:i w:val="0"/>
          <w:color w:val="203764"/>
          <w:sz w:val="24"/>
        </w:rPr>
        <w:t>6. Discusión</w:t>
      </w:r>
    </w:p>
    <w:p>
      <w:pPr>
        <w:spacing w:before="0" w:after="60" w:line="240" w:lineRule="auto"/>
      </w:pPr>
      <w:r>
        <w:rPr>
          <w:rFonts w:ascii="Times New Roman" w:hAnsi="Times New Roman" w:eastAsia="Times New Roman"/>
          <w:b w:val="0"/>
          <w:i w:val="0"/>
          <w:sz w:val="22"/>
        </w:rPr>
        <w:t>El resultado central es deliberadamente sobrio: el aprendizaje automático mejora el ordenamiento del riesgo, pero la magnitud de la mejora frente a regresión logística es limitada cuando las variables son autorreportadas y no incluyen biomarcadores. Esto contradice una narrativa común donde modelos más complejos se presentan como solución suficiente.</w:t>
      </w:r>
    </w:p>
    <w:p>
      <w:pPr>
        <w:spacing w:before="0" w:after="60" w:line="240" w:lineRule="auto"/>
      </w:pPr>
      <w:r>
        <w:rPr>
          <w:rFonts w:ascii="Times New Roman" w:hAnsi="Times New Roman" w:eastAsia="Times New Roman"/>
          <w:b w:val="0"/>
          <w:i w:val="0"/>
          <w:sz w:val="22"/>
        </w:rPr>
        <w:t>Para un sistema clínico móvil o web, la utilidad se encuentra en integrar el modelo con acciones: priorizar agenda, activar alertas, sugerir seguimiento, generar explicación de factores de riesgo y registrar la decisión clínica. La predicción aislada tiene menos valor que el circuito completo de atención.</w:t>
      </w:r>
    </w:p>
    <w:p>
      <w:pPr>
        <w:spacing w:before="0" w:after="60" w:line="240" w:lineRule="auto"/>
      </w:pPr>
      <w:r>
        <w:rPr>
          <w:rFonts w:ascii="Times New Roman" w:hAnsi="Times New Roman" w:eastAsia="Times New Roman"/>
          <w:b w:val="0"/>
          <w:i w:val="0"/>
          <w:sz w:val="22"/>
        </w:rPr>
        <w:t>El desempeño también debe evaluarse por seguridad: un modelo no calibrado o presentado como diagnóstico puede aumentar falsos positivos, ansiedad del paciente o retraso de pruebas confirmatorias. La interfaz debe comunicar que el riesgo es una estimación y requiere valoración médica.</w:t>
      </w:r>
    </w:p>
    <w:p>
      <w:pPr>
        <w:spacing w:before="0" w:after="60" w:line="240" w:lineRule="auto"/>
      </w:pPr>
      <w:r>
        <w:rPr>
          <w:rFonts w:ascii="Times New Roman" w:hAnsi="Times New Roman" w:eastAsia="Times New Roman"/>
          <w:b w:val="0"/>
          <w:i w:val="0"/>
          <w:sz w:val="22"/>
        </w:rPr>
        <w:t>Otra implicación es que el despliegue debe distinguir entre exactitud estadística y utilidad clínica. Un AUC aceptable no garantiza que el sistema mejore resultados en salud; para ello se requiere evaluar tiempos de atención, adherencia, seguimiento, aceptación del personal médico y comprensión del paciente.</w:t>
      </w:r>
    </w:p>
    <w:p>
      <w:pPr>
        <w:spacing w:before="0" w:after="60" w:line="240" w:lineRule="auto"/>
      </w:pPr>
      <w:r>
        <w:rPr>
          <w:rFonts w:ascii="Times New Roman" w:hAnsi="Times New Roman" w:eastAsia="Times New Roman"/>
          <w:b w:val="0"/>
          <w:i w:val="0"/>
          <w:sz w:val="22"/>
        </w:rPr>
        <w:t>La moderada diferencia entre modelos también favorece arquitecturas de decisión híbridas. Un modelo simple puede ser suficiente para explicar factores generales, mientras que un ensamble calibrado puede ordenar prioridades operativas. Ambos enfoques pueden coexistir si el sistema conserva trazabilidad, monitoreo y auditoría.</w:t>
      </w:r>
    </w:p>
    <w:tbl>
      <w:tblPr>
        <w:tblW w:type="dxa" w:w="4320"/>
        <w:tblLayout w:type="fixed"/>
        <w:tblLook w:firstColumn="1" w:firstRow="1" w:lastColumn="0" w:lastRow="0" w:noHBand="0" w:noVBand="1" w:val="04A0"/>
      </w:tblPr>
      <w:tblGrid>
        <w:gridCol w:w="4320"/>
      </w:tblGrid>
      <w:tr>
        <w:tc>
          <w:tcPr>
            <w:tcW w:type="dxa" w:w="4320"/>
            <w:shd w:fill="EAF1F8"/>
            <w:tcBorders>
              <w:top w:val="single" w:sz="4" w:space="0" w:color="A6BDD7"/>
              <w:left w:val="single" w:sz="4" w:space="0" w:color="A6BDD7"/>
              <w:bottom w:val="single" w:sz="4" w:space="0" w:color="A6BDD7"/>
              <w:right w:val="single" w:sz="4" w:space="0" w:color="A6BDD7"/>
              <w:insideH w:val="single" w:sz="4" w:space="0" w:color="A6BDD7"/>
              <w:insideV w:val="single" w:sz="4" w:space="0" w:color="A6BDD7"/>
            </w:tcBorders>
            <w:tcMar>
              <w:top w:w="100" w:type="dxa"/>
              <w:start w:w="100" w:type="dxa"/>
              <w:bottom w:w="100" w:type="dxa"/>
              <w:end w:w="100" w:type="dxa"/>
            </w:tcMar>
          </w:tcPr>
          <w:p>
            <w:pPr>
              <w:spacing w:after="40"/>
            </w:pPr>
            <w:r>
              <w:rPr>
                <w:rFonts w:ascii="Times New Roman" w:hAnsi="Times New Roman" w:eastAsia="Times New Roman"/>
                <w:b/>
                <w:i w:val="0"/>
                <w:color w:val="203764"/>
                <w:sz w:val="19"/>
              </w:rPr>
              <w:t>Criterio de uso responsable</w:t>
            </w:r>
          </w:p>
          <w:p>
            <w:pPr>
              <w:spacing w:after="0"/>
            </w:pPr>
            <w:r>
              <w:rPr>
                <w:rFonts w:ascii="Times New Roman" w:hAnsi="Times New Roman" w:eastAsia="Times New Roman"/>
                <w:b w:val="0"/>
                <w:i w:val="0"/>
                <w:sz w:val="18"/>
              </w:rPr>
              <w:t>PREDIA debe presentar el resultado como riesgo estimado, no como diagnóstico. La decisión clínica final corresponde al profesional de salud y debe quedar registrada en expediente.</w:t>
            </w:r>
          </w:p>
        </w:tc>
      </w:tr>
    </w:tbl>
    <w:p>
      <w:pPr>
        <w:spacing w:before="0" w:after="40" w:line="240" w:lineRule="auto"/>
      </w:pPr>
    </w:p>
    <w:p>
      <w:pPr>
        <w:keepNext/>
        <w:spacing w:before="160" w:after="60" w:line="240" w:lineRule="auto"/>
      </w:pPr>
      <w:r>
        <w:rPr>
          <w:rFonts w:ascii="Times New Roman" w:hAnsi="Times New Roman" w:eastAsia="Times New Roman"/>
          <w:b/>
          <w:i w:val="0"/>
          <w:color w:val="203764"/>
          <w:sz w:val="24"/>
        </w:rPr>
        <w:t>7. Lecciones aprendidas para ML clínico</w:t>
      </w:r>
    </w:p>
    <w:p>
      <w:pPr>
        <w:spacing w:before="0" w:after="60" w:line="240" w:lineRule="auto"/>
      </w:pPr>
      <w:r>
        <w:rPr>
          <w:rFonts w:ascii="Times New Roman" w:hAnsi="Times New Roman" w:eastAsia="Times New Roman"/>
          <w:b w:val="0"/>
          <w:i w:val="0"/>
          <w:sz w:val="22"/>
        </w:rPr>
        <w:t>Primero, los baselines fuertes son obligatorios. Comparar un ensamble contra un método trivial puede inflar conclusiones. Segundo, la calibración no es opcional cuando el resultado se muestra como probabilidad. Tercero, la interpretación debe estar conectada con acciones clínicas, no solo con gráficos técnicos.</w:t>
      </w:r>
    </w:p>
    <w:p>
      <w:pPr>
        <w:spacing w:before="0" w:after="60" w:line="240" w:lineRule="auto"/>
      </w:pPr>
      <w:r>
        <w:rPr>
          <w:rFonts w:ascii="Times New Roman" w:hAnsi="Times New Roman" w:eastAsia="Times New Roman"/>
          <w:b w:val="0"/>
          <w:i w:val="0"/>
          <w:sz w:val="22"/>
        </w:rPr>
        <w:t>Cuarto, el diseño del producto debe evitar automatización excesiva. En PREDIA, el modelo debe actuar como soporte de decisión, con validación médica y registro auditable. Quinto, la mejora futura dependerá de integrar variables de laboratorio, seguimiento longitudinal y datos capturados por paciente desde móvil.</w:t>
      </w:r>
    </w:p>
    <w:p>
      <w:pPr>
        <w:spacing w:before="0" w:after="60" w:line="240" w:lineRule="auto"/>
      </w:pPr>
      <w:r>
        <w:rPr>
          <w:rFonts w:ascii="Times New Roman" w:hAnsi="Times New Roman" w:eastAsia="Times New Roman"/>
          <w:b w:val="0"/>
          <w:i w:val="0"/>
          <w:sz w:val="22"/>
        </w:rPr>
        <w:t>Sexto, la evaluación debe incluir fallos de producto: formularios incompletos, datos fuera de rango, citas duplicadas, pérdida de conexión y perfiles con permisos distintos. En salud digital, la seguridad del modelo depende también de la calidad del flujo de captura y persistencia de datos.</w:t>
      </w:r>
    </w:p>
    <w:p>
      <w:pPr>
        <w:spacing w:before="0" w:after="60" w:line="240" w:lineRule="auto"/>
      </w:pPr>
      <w:r>
        <w:rPr>
          <w:rFonts w:ascii="Times New Roman" w:hAnsi="Times New Roman" w:eastAsia="Times New Roman"/>
          <w:b w:val="0"/>
          <w:i w:val="0"/>
          <w:sz w:val="22"/>
        </w:rPr>
        <w:t>Séptimo, una app móvil aporta utilidad real cuando reduce fricción en tareas concretas: registrar signos, consultar expediente, administrar agenda, iniciar o cerrar atención, descargar documentos e involucrar al paciente en su seguimiento. Esto diferencia una integración móvil funcional de una copia limitada de la web.</w:t>
      </w:r>
    </w:p>
    <w:p>
      <w:pPr>
        <w:keepNext/>
        <w:spacing w:before="160" w:after="60" w:line="240" w:lineRule="auto"/>
      </w:pPr>
      <w:r>
        <w:rPr>
          <w:rFonts w:ascii="Times New Roman" w:hAnsi="Times New Roman" w:eastAsia="Times New Roman"/>
          <w:b/>
          <w:i w:val="0"/>
          <w:color w:val="203764"/>
          <w:sz w:val="24"/>
        </w:rPr>
        <w:t>8. Limitaciones y amenazas a la validez</w:t>
      </w:r>
    </w:p>
    <w:p>
      <w:pPr>
        <w:spacing w:before="0" w:after="60" w:line="240" w:lineRule="auto"/>
      </w:pPr>
      <w:r>
        <w:rPr>
          <w:rFonts w:ascii="Times New Roman" w:hAnsi="Times New Roman" w:eastAsia="Times New Roman"/>
          <w:b w:val="0"/>
          <w:i w:val="0"/>
          <w:sz w:val="22"/>
        </w:rPr>
        <w:t>La base BRFSS es transversal y autodeclarada, por lo que no permite inferir causalidad ni reemplazar medición clínica. Existen posibles sesgos de recuerdo, subregistro y diferencias de acceso al diagnóstico. La población corresponde a Estados Unidos y puede no representar directamente a otras regiones.</w:t>
      </w:r>
    </w:p>
    <w:p>
      <w:pPr>
        <w:spacing w:before="0" w:after="60" w:line="240" w:lineRule="auto"/>
      </w:pPr>
      <w:r>
        <w:rPr>
          <w:rFonts w:ascii="Times New Roman" w:hAnsi="Times New Roman" w:eastAsia="Times New Roman"/>
          <w:b w:val="0"/>
          <w:i w:val="0"/>
          <w:sz w:val="22"/>
        </w:rPr>
        <w:t>El conjunto no incluye glucosa, hemoglobina glucosilada ni resultados de laboratorio. Tampoco se dispone de temporalidad clínica suficiente para evaluar progresión individual. Aunque se preservaron duplicados para reproducir la base, su existencia puede reflejar patrones de respuesta repetidos y afectar estimaciones si se usa sin control.</w:t>
      </w:r>
    </w:p>
    <w:p>
      <w:pPr>
        <w:spacing w:before="0" w:after="60" w:line="240" w:lineRule="auto"/>
      </w:pPr>
      <w:r>
        <w:rPr>
          <w:rFonts w:ascii="Times New Roman" w:hAnsi="Times New Roman" w:eastAsia="Times New Roman"/>
          <w:b w:val="0"/>
          <w:i w:val="0"/>
          <w:sz w:val="22"/>
        </w:rPr>
        <w:t>La evaluación no sustituye validación prospectiva. Antes de usar el modelo como parte de una decisión asistencial formal, debe probarse con datos locales, revisar desempeño por subgrupos y medir si la intervención reduce tiempos de detección o mejora adherencia al seguimiento.</w:t>
      </w:r>
    </w:p>
    <w:p>
      <w:pPr>
        <w:spacing w:before="0" w:after="60" w:line="240" w:lineRule="auto"/>
      </w:pPr>
      <w:r>
        <w:rPr>
          <w:rFonts w:ascii="Times New Roman" w:hAnsi="Times New Roman" w:eastAsia="Times New Roman"/>
          <w:b w:val="0"/>
          <w:i w:val="0"/>
          <w:sz w:val="22"/>
        </w:rPr>
        <w:t>También existe amenaza de desplazamiento de distribución. Cambios en prevalencia, hábitos, criterios diagnósticos o forma de captura pueden alterar la calibración. Por ello, un sistema productivo debe monitorear desempeño, errores y calidad de datos después del despliegue.</w:t>
      </w:r>
    </w:p>
    <w:p>
      <w:pPr>
        <w:keepNext/>
        <w:spacing w:before="160" w:after="60" w:line="240" w:lineRule="auto"/>
      </w:pPr>
      <w:r>
        <w:rPr>
          <w:rFonts w:ascii="Times New Roman" w:hAnsi="Times New Roman" w:eastAsia="Times New Roman"/>
          <w:b/>
          <w:i w:val="0"/>
          <w:color w:val="203764"/>
          <w:sz w:val="24"/>
        </w:rPr>
        <w:t>9. Trabajo futuro</w:t>
      </w:r>
    </w:p>
    <w:p>
      <w:pPr>
        <w:spacing w:before="0" w:after="60" w:line="240" w:lineRule="auto"/>
      </w:pPr>
      <w:r>
        <w:rPr>
          <w:rFonts w:ascii="Times New Roman" w:hAnsi="Times New Roman" w:eastAsia="Times New Roman"/>
          <w:b w:val="0"/>
          <w:i w:val="0"/>
          <w:sz w:val="22"/>
        </w:rPr>
        <w:t>Como continuación se propone integrar variables clínicas longitudinales, biomarcadores, adherencia terapéutica, signos vitales y datos de autogestión móvil. En PREDIA, esto permitiría actualizar riesgo durante la consulta, registrar cambios desde la app del paciente y validar predicciones contra desenlaces reales.</w:t>
      </w:r>
    </w:p>
    <w:p>
      <w:pPr>
        <w:spacing w:before="0" w:after="60" w:line="240" w:lineRule="auto"/>
      </w:pPr>
      <w:r>
        <w:rPr>
          <w:rFonts w:ascii="Times New Roman" w:hAnsi="Times New Roman" w:eastAsia="Times New Roman"/>
          <w:b w:val="0"/>
          <w:i w:val="0"/>
          <w:sz w:val="22"/>
        </w:rPr>
        <w:t>También se recomienda evaluar equidad por edad, sexo, grupo socioeconómico y acceso a servicios de salud, además de construir pruebas de robustez contra fuga de información, drift de datos y cambios de prevalencia.</w:t>
      </w:r>
    </w:p>
    <w:p>
      <w:pPr>
        <w:spacing w:before="0" w:after="60" w:line="240" w:lineRule="auto"/>
      </w:pPr>
      <w:r>
        <w:rPr>
          <w:rFonts w:ascii="Times New Roman" w:hAnsi="Times New Roman" w:eastAsia="Times New Roman"/>
          <w:b w:val="0"/>
          <w:i w:val="0"/>
          <w:sz w:val="22"/>
        </w:rPr>
        <w:t>La siguiente etapa técnica debe incluir MLOps básico: versionado de datasets, versionado de modelos, pruebas automáticas de métricas mínimas, monitoreo de calibración y bitácora de predicciones. Esto permitiría detectar degradación antes de que afecte decisiones clínicas.</w:t>
      </w:r>
    </w:p>
    <w:p>
      <w:pPr>
        <w:spacing w:before="0" w:after="60" w:line="240" w:lineRule="auto"/>
      </w:pPr>
      <w:r>
        <w:rPr>
          <w:rFonts w:ascii="Times New Roman" w:hAnsi="Times New Roman" w:eastAsia="Times New Roman"/>
          <w:b w:val="0"/>
          <w:i w:val="0"/>
          <w:sz w:val="22"/>
        </w:rPr>
        <w:t>Desde la perspectiva de experiencia móvil, se recomienda validar el modelo con usuarios reales mediante escenarios de consulta: paciente con signos actualizados, paciente con cita vencida, paciente con riesgo alto y paciente con datos incompletos. Cada escenario debe medir comprensión, tiempo de tarea y errores de captura.</w:t>
      </w:r>
    </w:p>
    <w:p>
      <w:pPr>
        <w:keepNext/>
        <w:spacing w:before="160" w:after="60" w:line="240" w:lineRule="auto"/>
      </w:pPr>
      <w:r>
        <w:rPr>
          <w:rFonts w:ascii="Times New Roman" w:hAnsi="Times New Roman" w:eastAsia="Times New Roman"/>
          <w:b/>
          <w:i w:val="0"/>
          <w:color w:val="203764"/>
          <w:sz w:val="24"/>
        </w:rPr>
        <w:t>10. Consideraciones de implementación clínica</w:t>
      </w:r>
    </w:p>
    <w:p>
      <w:pPr>
        <w:spacing w:before="0" w:after="60" w:line="240" w:lineRule="auto"/>
      </w:pPr>
      <w:r>
        <w:rPr>
          <w:rFonts w:ascii="Times New Roman" w:hAnsi="Times New Roman" w:eastAsia="Times New Roman"/>
          <w:b w:val="0"/>
          <w:i w:val="0"/>
          <w:sz w:val="22"/>
        </w:rPr>
        <w:t>La integración del modelo en PREDIA requiere una arquitectura que separe captura de datos, cálculo de riesgo, persistencia clínica y presentación visual. Esta separación permite auditar qué datos entraron al modelo, qué versión produjo la predicción y qué acción tomó el médico después de verla.</w:t>
      </w:r>
    </w:p>
    <w:p>
      <w:pPr>
        <w:spacing w:before="0" w:after="60" w:line="240" w:lineRule="auto"/>
      </w:pPr>
      <w:r>
        <w:rPr>
          <w:rFonts w:ascii="Times New Roman" w:hAnsi="Times New Roman" w:eastAsia="Times New Roman"/>
          <w:b w:val="0"/>
          <w:i w:val="0"/>
          <w:sz w:val="22"/>
        </w:rPr>
        <w:t>En la app móvil, las validaciones deben ejecutarse antes de enviar información a la base de datos: rangos fisiológicos, fechas de cita, campos obligatorios, identidad del paciente y permisos por perfil. Validar en frontend mejora experiencia, pero el backend debe repetir las reglas para evitar registros inválidos por llamadas directas a la API.</w:t>
      </w:r>
    </w:p>
    <w:p>
      <w:pPr>
        <w:spacing w:before="0" w:after="60" w:line="240" w:lineRule="auto"/>
      </w:pPr>
      <w:r>
        <w:rPr>
          <w:rFonts w:ascii="Times New Roman" w:hAnsi="Times New Roman" w:eastAsia="Times New Roman"/>
          <w:b w:val="0"/>
          <w:i w:val="0"/>
          <w:sz w:val="22"/>
        </w:rPr>
        <w:t>La agenda clínica es un punto crítico porque conecta predicción con operación. Un paciente en riesgo alto puede requerir cita prioritaria, pero el sistema debe evitar conflictos de horario, citas en fechas pasadas y cambios sin trazabilidad. Iniciar, finalizar, cancelar y reagendar deben quedar reflejados tanto en móvil como en web.</w:t>
      </w:r>
    </w:p>
    <w:p>
      <w:pPr>
        <w:spacing w:before="0" w:after="60" w:line="240" w:lineRule="auto"/>
      </w:pPr>
      <w:r>
        <w:rPr>
          <w:rFonts w:ascii="Times New Roman" w:hAnsi="Times New Roman" w:eastAsia="Times New Roman"/>
          <w:b w:val="0"/>
          <w:i w:val="0"/>
          <w:sz w:val="22"/>
        </w:rPr>
        <w:t>La interfaz debe usar microcopys de seguridad: 'riesgo estimado', 'requiere valoración', 'datos incompletos' y 'última actualización'. Estos textos reducen la posibilidad de que el paciente interprete una probabilidad como diagnóstico definitivo. Para médicos, el panel debe mostrar factores principales y estado de calibración, no solo un color de riesgo.</w:t>
      </w:r>
    </w:p>
    <w:p>
      <w:pPr>
        <w:spacing w:before="0" w:after="60" w:line="240" w:lineRule="auto"/>
      </w:pPr>
      <w:r>
        <w:rPr>
          <w:rFonts w:ascii="Times New Roman" w:hAnsi="Times New Roman" w:eastAsia="Times New Roman"/>
          <w:b w:val="0"/>
          <w:i w:val="0"/>
          <w:sz w:val="22"/>
        </w:rPr>
        <w:t>Finalmente, el despliegue debe contemplar monitoreo operativo: latencia de API, errores de autenticación, fallos al guardar expedientes, generación de PDF, sincronización móvil-web y eventos de seguridad. Un modelo útil puede perder valor si el sistema falla en captura, persistencia o comunicación clínica.</w:t>
      </w:r>
    </w:p>
    <w:p>
      <w:pPr>
        <w:keepNext/>
        <w:spacing w:before="160" w:after="60" w:line="240" w:lineRule="auto"/>
      </w:pPr>
      <w:r>
        <w:rPr>
          <w:rFonts w:ascii="Times New Roman" w:hAnsi="Times New Roman" w:eastAsia="Times New Roman"/>
          <w:b/>
          <w:i w:val="0"/>
          <w:color w:val="203764"/>
          <w:sz w:val="24"/>
        </w:rPr>
        <w:t>11. Gobernanza, privacidad y seguridad</w:t>
      </w:r>
    </w:p>
    <w:p>
      <w:pPr>
        <w:spacing w:before="0" w:after="60" w:line="240" w:lineRule="auto"/>
      </w:pPr>
      <w:r>
        <w:rPr>
          <w:rFonts w:ascii="Times New Roman" w:hAnsi="Times New Roman" w:eastAsia="Times New Roman"/>
          <w:b w:val="0"/>
          <w:i w:val="0"/>
          <w:sz w:val="22"/>
        </w:rPr>
        <w:t>Un sistema clínico inteligente debe diseñarse bajo el principio de mínimo privilegio. El paciente no debe acceder a expedientes ajenos y el médico solo debe consultar o modificar datos dentro de su ámbito operativo. La protección mediante autenticación, tokens JWT, roles y validación de permisos es parte de la seguridad del modelo, no un elemento separado.</w:t>
      </w:r>
    </w:p>
    <w:p>
      <w:pPr>
        <w:spacing w:before="0" w:after="60" w:line="240" w:lineRule="auto"/>
      </w:pPr>
      <w:r>
        <w:rPr>
          <w:rFonts w:ascii="Times New Roman" w:hAnsi="Times New Roman" w:eastAsia="Times New Roman"/>
          <w:b w:val="0"/>
          <w:i w:val="0"/>
          <w:sz w:val="22"/>
        </w:rPr>
        <w:t>La privacidad también depende de reducir exposición innecesaria. Las respuestas de API deben devolver únicamente los campos requeridos por la pantalla activa, evitando incluir datos sensibles que no se muestran. En móvil, la sesión debe almacenarse de forma segura y los errores no deben revelar detalles internos de base de datos o infraestructura.</w:t>
      </w:r>
    </w:p>
    <w:p>
      <w:pPr>
        <w:spacing w:before="0" w:after="60" w:line="240" w:lineRule="auto"/>
      </w:pPr>
      <w:r>
        <w:rPr>
          <w:rFonts w:ascii="Times New Roman" w:hAnsi="Times New Roman" w:eastAsia="Times New Roman"/>
          <w:b w:val="0"/>
          <w:i w:val="0"/>
          <w:sz w:val="22"/>
        </w:rPr>
        <w:t>Toda predicción relevante debería almacenarse con metadatos: identificador de paciente, fecha, versión de modelo, variables disponibles, probabilidad, banda de riesgo, factores explicativos y usuario que la consultó. Esta bitácora permite auditoría posterior y facilita explicar por qué una decisión fue tomada.</w:t>
      </w:r>
    </w:p>
    <w:p>
      <w:pPr>
        <w:spacing w:before="0" w:after="60" w:line="240" w:lineRule="auto"/>
      </w:pPr>
      <w:r>
        <w:rPr>
          <w:rFonts w:ascii="Times New Roman" w:hAnsi="Times New Roman" w:eastAsia="Times New Roman"/>
          <w:b w:val="0"/>
          <w:i w:val="0"/>
          <w:sz w:val="22"/>
        </w:rPr>
        <w:t>La gobernanza operacional requiere monitorear calidad de datos. Valores imposibles, campos incompletos, fechas inválidas o cambios repetidos en registros clínicos pueden degradar el desempeño de forma silenciosa. Las validaciones de formularios, logs y alertas operativas son mecanismos preventivos contra ese deterioro.</w:t>
      </w:r>
    </w:p>
    <w:p>
      <w:pPr>
        <w:spacing w:before="0" w:after="60" w:line="240" w:lineRule="auto"/>
      </w:pPr>
      <w:r>
        <w:rPr>
          <w:rFonts w:ascii="Times New Roman" w:hAnsi="Times New Roman" w:eastAsia="Times New Roman"/>
          <w:b w:val="0"/>
          <w:i w:val="0"/>
          <w:sz w:val="22"/>
        </w:rPr>
        <w:t>En etapa académica, la demostración debe mostrar que las validaciones rechazan entradas fuera de rango y que las acciones móviles se reflejan en la web. En etapa productiva, el mismo principio debe ampliarse con pruebas automatizadas, monitoreo de errores, control de versiones y revisión periódica por especialistas clínicos.</w:t>
      </w:r>
    </w:p>
    <w:p>
      <w:pPr>
        <w:keepNext/>
        <w:spacing w:before="160" w:after="60" w:line="240" w:lineRule="auto"/>
      </w:pPr>
      <w:r>
        <w:rPr>
          <w:rFonts w:ascii="Times New Roman" w:hAnsi="Times New Roman" w:eastAsia="Times New Roman"/>
          <w:b/>
          <w:i w:val="0"/>
          <w:color w:val="203764"/>
          <w:sz w:val="24"/>
        </w:rPr>
        <w:t>12. Conclusiones</w:t>
      </w:r>
    </w:p>
    <w:p>
      <w:pPr>
        <w:spacing w:before="0" w:after="60" w:line="240" w:lineRule="auto"/>
      </w:pPr>
      <w:r>
        <w:rPr>
          <w:rFonts w:ascii="Times New Roman" w:hAnsi="Times New Roman" w:eastAsia="Times New Roman"/>
          <w:b w:val="0"/>
          <w:i w:val="0"/>
          <w:sz w:val="22"/>
        </w:rPr>
        <w:t>El benchmark muestra que el aprendizaje automático aporta una mejora real pero moderada para predecir riesgo de diabetes con indicadores poblacionales. Los mejores modelos alcanzaron ROC-AUC cercano a 0.827, mientras que regresión logística se mantuvo competitiva con 0.820.</w:t>
      </w:r>
    </w:p>
    <w:p>
      <w:pPr>
        <w:spacing w:before="0" w:after="60" w:line="240" w:lineRule="auto"/>
      </w:pPr>
      <w:r>
        <w:rPr>
          <w:rFonts w:ascii="Times New Roman" w:hAnsi="Times New Roman" w:eastAsia="Times New Roman"/>
          <w:b w:val="0"/>
          <w:i w:val="0"/>
          <w:sz w:val="22"/>
        </w:rPr>
        <w:t>La conclusión práctica es que el valor clínico no depende solo del algoritmo. Depende de calibración, interpretabilidad, validación externa, integración al flujo de atención y comunicación responsable con el usuario. El modelo puede apoyar cribado y priorización, pero no debe emplearse como diagnóstico autónomo.</w:t>
      </w:r>
    </w:p>
    <w:p>
      <w:pPr>
        <w:keepNext/>
        <w:spacing w:before="160" w:after="60" w:line="240" w:lineRule="auto"/>
      </w:pPr>
      <w:r>
        <w:rPr>
          <w:rFonts w:ascii="Times New Roman" w:hAnsi="Times New Roman" w:eastAsia="Times New Roman"/>
          <w:b/>
          <w:i w:val="0"/>
          <w:color w:val="203764"/>
          <w:sz w:val="24"/>
        </w:rPr>
        <w:t>Declaración de reproducibilidad</w:t>
      </w:r>
    </w:p>
    <w:p>
      <w:pPr>
        <w:spacing w:before="0" w:after="60" w:line="240" w:lineRule="auto"/>
      </w:pPr>
      <w:r>
        <w:rPr>
          <w:rFonts w:ascii="Times New Roman" w:hAnsi="Times New Roman" w:eastAsia="Times New Roman"/>
          <w:b w:val="0"/>
          <w:i w:val="0"/>
          <w:sz w:val="19"/>
        </w:rPr>
        <w:t>El estudio declara uso de BRFSS 2015, partición 60/20/20, comparación de nueve estimadores y generación de métricas y figuras reproducibles. Los archivos del proyecto PREDIA incluyen tablas CSV de resultados, curvas ROC/PR, calibración y matrices de confusión bajo ml-research/brfss/results/models.</w:t>
      </w:r>
    </w:p>
    <w:p>
      <w:pPr>
        <w:spacing w:before="0" w:after="60" w:line="240" w:lineRule="auto"/>
      </w:pPr>
      <w:r>
        <w:rPr>
          <w:rFonts w:ascii="Times New Roman" w:hAnsi="Times New Roman" w:eastAsia="Times New Roman"/>
          <w:b w:val="0"/>
          <w:i w:val="0"/>
          <w:sz w:val="19"/>
        </w:rPr>
        <w:t>Para repetir el benchmark se requieren tres elementos: acceso al dataset público, entorno de Python con bibliotecas de aprendizaje automático y ejecución del pipeline de evaluación. La salida esperada incluye comparativas de modelos, curvas, métricas de calibración y tablas de bandas de riesgo.</w:t>
      </w:r>
    </w:p>
    <w:p>
      <w:pPr>
        <w:keepNext/>
        <w:spacing w:before="160" w:after="60" w:line="240" w:lineRule="auto"/>
      </w:pPr>
      <w:r>
        <w:rPr>
          <w:rFonts w:ascii="Times New Roman" w:hAnsi="Times New Roman" w:eastAsia="Times New Roman"/>
          <w:b/>
          <w:i w:val="0"/>
          <w:color w:val="203764"/>
          <w:sz w:val="24"/>
        </w:rPr>
        <w:t>Declaraciones</w:t>
      </w:r>
    </w:p>
    <w:p>
      <w:pPr>
        <w:spacing w:before="0" w:after="60" w:line="240" w:lineRule="auto"/>
      </w:pPr>
      <w:r>
        <w:rPr>
          <w:rFonts w:ascii="Times New Roman" w:hAnsi="Times New Roman" w:eastAsia="Times New Roman"/>
          <w:b w:val="0"/>
          <w:i w:val="0"/>
          <w:sz w:val="18"/>
        </w:rPr>
        <w:t>Conflicto de interés: no se encontró una declaración formal en el material fuente; requiere confirmación por los autores antes del envío.</w:t>
      </w:r>
    </w:p>
    <w:p>
      <w:pPr>
        <w:spacing w:before="0" w:after="60" w:line="240" w:lineRule="auto"/>
      </w:pPr>
      <w:r>
        <w:rPr>
          <w:rFonts w:ascii="Times New Roman" w:hAnsi="Times New Roman" w:eastAsia="Times New Roman"/>
          <w:b w:val="0"/>
          <w:i w:val="0"/>
          <w:sz w:val="18"/>
        </w:rPr>
        <w:t>Financiamiento: no se identificó financiamiento externo específico en el material fuente.</w:t>
      </w:r>
    </w:p>
    <w:p>
      <w:pPr>
        <w:spacing w:before="0" w:after="60" w:line="240" w:lineRule="auto"/>
      </w:pPr>
      <w:r>
        <w:rPr>
          <w:rFonts w:ascii="Times New Roman" w:hAnsi="Times New Roman" w:eastAsia="Times New Roman"/>
          <w:b w:val="0"/>
          <w:i w:val="0"/>
          <w:sz w:val="18"/>
        </w:rPr>
        <w:t>Disponibilidad de datos: BRFSS 2015 es un conjunto público del CDC; los resultados procesados se documentan en los archivos del proyecto.</w:t>
      </w:r>
    </w:p>
    <w:p>
      <w:pPr>
        <w:spacing w:before="0" w:after="60" w:line="240" w:lineRule="auto"/>
      </w:pPr>
      <w:r>
        <w:rPr>
          <w:rFonts w:ascii="Times New Roman" w:hAnsi="Times New Roman" w:eastAsia="Times New Roman"/>
          <w:b w:val="0"/>
          <w:i w:val="0"/>
          <w:sz w:val="18"/>
        </w:rPr>
        <w:t>Contribución de autores: pendiente de desglosar por autor en la versión final de envío.</w:t>
      </w:r>
    </w:p>
    <w:p>
      <w:pPr>
        <w:keepNext/>
        <w:spacing w:before="160" w:after="60" w:line="240" w:lineRule="auto"/>
      </w:pPr>
      <w:r>
        <w:rPr>
          <w:rFonts w:ascii="Times New Roman" w:hAnsi="Times New Roman" w:eastAsia="Times New Roman"/>
          <w:b/>
          <w:i w:val="0"/>
          <w:color w:val="203764"/>
          <w:sz w:val="24"/>
        </w:rPr>
        <w:t>Referencias</w:t>
      </w:r>
    </w:p>
    <w:p>
      <w:pPr>
        <w:spacing w:before="0" w:after="20" w:line="240" w:lineRule="auto"/>
      </w:pPr>
      <w:r>
        <w:rPr>
          <w:rFonts w:ascii="Times New Roman" w:hAnsi="Times New Roman" w:eastAsia="Times New Roman"/>
          <w:b w:val="0"/>
          <w:i w:val="0"/>
          <w:sz w:val="15"/>
        </w:rPr>
        <w:t>[1] International Diabetes Federation, "IDF diabetes atlas, 10th ed." International Diabetes Federation, Brussels, Belgium, Tech. Rep., 2021.</w:t>
      </w:r>
    </w:p>
    <w:p>
      <w:pPr>
        <w:spacing w:before="0" w:after="20" w:line="240" w:lineRule="auto"/>
      </w:pPr>
      <w:r>
        <w:rPr>
          <w:rFonts w:ascii="Times New Roman" w:hAnsi="Times New Roman" w:eastAsia="Times New Roman"/>
          <w:b w:val="0"/>
          <w:i w:val="0"/>
          <w:sz w:val="15"/>
        </w:rPr>
        <w:t>[2] American Diabetes Association, "Classification and diagnosis of diabetes: Standards of medical care in diabetes - 2021," Diabetes Care, vol. 44, no. Supplement 1, pp. S15--S33, 2021, doi: 10.2337/dc21-S002.</w:t>
      </w:r>
    </w:p>
    <w:p>
      <w:pPr>
        <w:spacing w:before="0" w:after="20" w:line="240" w:lineRule="auto"/>
      </w:pPr>
      <w:r>
        <w:rPr>
          <w:rFonts w:ascii="Times New Roman" w:hAnsi="Times New Roman" w:eastAsia="Times New Roman"/>
          <w:b w:val="0"/>
          <w:i w:val="0"/>
          <w:sz w:val="15"/>
        </w:rPr>
        <w:t>[3] Z. Xie, O. Nikolayeva, J. Luo, and D. Li, "Building risk prediction models for type 2 diabetes using machine learning techniques," Preventing Chronic Disease, vol. 16, p. E130, 2019, doi: 10.5888/pcd16.190109.</w:t>
      </w:r>
    </w:p>
    <w:p>
      <w:pPr>
        <w:spacing w:before="0" w:after="20" w:line="240" w:lineRule="auto"/>
      </w:pPr>
      <w:r>
        <w:rPr>
          <w:rFonts w:ascii="Times New Roman" w:hAnsi="Times New Roman" w:eastAsia="Times New Roman"/>
          <w:b w:val="0"/>
          <w:i w:val="0"/>
          <w:sz w:val="15"/>
        </w:rPr>
        <w:t>[4] A. Dinh, S. Miertschin, A. Young, and S. D. Mohanty, "A data-driven approach to predicting diabetes and cardiovascular disease with machine learning," BMC Medical Informatics and Decision Making, vol. 19, no. 1, p. 211, 2019, doi: 10.1186/s12911-019-0918-5.</w:t>
      </w:r>
    </w:p>
    <w:p>
      <w:pPr>
        <w:spacing w:before="0" w:after="20" w:line="240" w:lineRule="auto"/>
      </w:pPr>
      <w:r>
        <w:rPr>
          <w:rFonts w:ascii="Times New Roman" w:hAnsi="Times New Roman" w:eastAsia="Times New Roman"/>
          <w:b w:val="0"/>
          <w:i w:val="0"/>
          <w:sz w:val="15"/>
        </w:rPr>
        <w:t>[5] N. P. Tigga and S. Garg, "Prediction of type 2 diabetes using machine learning classification methods," Procedia Computer Science, vol. 167, pp. 706--716, 2020, doi: 10.1016/j.procs.2020.03.336.</w:t>
      </w:r>
    </w:p>
    <w:p>
      <w:pPr>
        <w:spacing w:before="0" w:after="20" w:line="240" w:lineRule="auto"/>
      </w:pPr>
      <w:r>
        <w:rPr>
          <w:rFonts w:ascii="Times New Roman" w:hAnsi="Times New Roman" w:eastAsia="Times New Roman"/>
          <w:b w:val="0"/>
          <w:i w:val="0"/>
          <w:sz w:val="15"/>
        </w:rPr>
        <w:t>[6] A. Rashid, "Diabetes dataset," Mendeley Data, V1, 2020, doi: 10.17632/wj9rwkp9c2.1.</w:t>
      </w:r>
    </w:p>
    <w:p>
      <w:pPr>
        <w:spacing w:before="0" w:after="20" w:line="240" w:lineRule="auto"/>
      </w:pPr>
      <w:r>
        <w:rPr>
          <w:rFonts w:ascii="Times New Roman" w:hAnsi="Times New Roman" w:eastAsia="Times New Roman"/>
          <w:b w:val="0"/>
          <w:i w:val="0"/>
          <w:sz w:val="15"/>
        </w:rPr>
        <w:t>[7] E. Christodoulou, J. Ma, G. S. Collins, E. W. Steyerberg, J. Y. Verbakel, and B. Van Calster, "A systematic review shows no performance benefit of machine learning over logistic regression for clinical prediction models," Journal of Clinical Epidemiology, vol. 110, pp. 12--22, 2019, doi: 10.1016/j.jclinepi.2019.02.004.</w:t>
      </w:r>
    </w:p>
    <w:p>
      <w:pPr>
        <w:spacing w:before="0" w:after="20" w:line="240" w:lineRule="auto"/>
      </w:pPr>
      <w:r>
        <w:rPr>
          <w:rFonts w:ascii="Times New Roman" w:hAnsi="Times New Roman" w:eastAsia="Times New Roman"/>
          <w:b w:val="0"/>
          <w:i w:val="0"/>
          <w:sz w:val="15"/>
        </w:rPr>
        <w:t>[8] S. Kaufman, S. Rosset, C. Perlich, and O. Stitelman, "Leakage in data mining: Formulation, detection, and avoidance," ACM Transactions on Knowledge Discovery from Data (TKDD), vol. 6, no. 4, pp. 1--21, 2012, doi: 10.1145/2382577.2382579.</w:t>
      </w:r>
    </w:p>
    <w:p>
      <w:pPr>
        <w:spacing w:before="0" w:after="20" w:line="240" w:lineRule="auto"/>
      </w:pPr>
      <w:r>
        <w:rPr>
          <w:rFonts w:ascii="Times New Roman" w:hAnsi="Times New Roman" w:eastAsia="Times New Roman"/>
          <w:b w:val="0"/>
          <w:i w:val="0"/>
          <w:sz w:val="15"/>
        </w:rPr>
        <w:t>[9] S. Kapoor and A. Narayanan, "Leakage and the reproducibility crisis in machine-learning-based science," Patterns, vol. 4, no. 9, p. 100804, 2023, doi: 10.1016/j.patter.2023.100804.</w:t>
      </w:r>
    </w:p>
    <w:p>
      <w:pPr>
        <w:spacing w:before="0" w:after="20" w:line="240" w:lineRule="auto"/>
      </w:pPr>
      <w:r>
        <w:rPr>
          <w:rFonts w:ascii="Times New Roman" w:hAnsi="Times New Roman" w:eastAsia="Times New Roman"/>
          <w:b w:val="0"/>
          <w:i w:val="0"/>
          <w:sz w:val="15"/>
        </w:rPr>
        <w:t>[10] E. W. Steyerberg, Clinical Prediction Models: A Practical Approach to Development, Validation, and Updating, 2nd ed., ser. Statistics for Biology and Health. Cham, Switzerland: Springer, 2019, doi: 10.1007/978-3-030-16399-0.</w:t>
      </w:r>
    </w:p>
    <w:p>
      <w:pPr>
        <w:spacing w:before="0" w:after="20" w:line="240" w:lineRule="auto"/>
      </w:pPr>
      <w:r>
        <w:rPr>
          <w:rFonts w:ascii="Times New Roman" w:hAnsi="Times New Roman" w:eastAsia="Times New Roman"/>
          <w:b w:val="0"/>
          <w:i w:val="0"/>
          <w:sz w:val="15"/>
        </w:rPr>
        <w:t>[11] B. Van Calster, D. J. McLernon, M. van Smeden, L. Wynants, and E. W. Steyerberg, "Calibration: The Achilles heel of predictive analytics," BMC Medicine, vol. 17, no. 1, p. 230, 2019, doi: 10.1186/s12916-019-1466-7.</w:t>
      </w:r>
    </w:p>
    <w:p>
      <w:pPr>
        <w:spacing w:before="0" w:after="20" w:line="240" w:lineRule="auto"/>
      </w:pPr>
      <w:r>
        <w:rPr>
          <w:rFonts w:ascii="Times New Roman" w:hAnsi="Times New Roman" w:eastAsia="Times New Roman"/>
          <w:b w:val="0"/>
          <w:i w:val="0"/>
          <w:sz w:val="15"/>
        </w:rPr>
        <w:t>[12] A. Niculescu-Mizil and R. Caruana, "Predicting good probabilities with supervised learning," in Proc. 22nd Int. Conf. on Machine Learning (ICML), 2005, pp. 625--632, doi: 10.1145/1102351.1102430.</w:t>
      </w:r>
    </w:p>
    <w:p>
      <w:pPr>
        <w:spacing w:before="0" w:after="20" w:line="240" w:lineRule="auto"/>
      </w:pPr>
      <w:r>
        <w:rPr>
          <w:rFonts w:ascii="Times New Roman" w:hAnsi="Times New Roman" w:eastAsia="Times New Roman"/>
          <w:b w:val="0"/>
          <w:i w:val="0"/>
          <w:sz w:val="15"/>
        </w:rPr>
        <w:t>[13] C. Guo, G. Pleiss, Y. Sun, and K. Q. Weinberger, "On calibration of modern neural networks," in Proc. 34th Int. Conf. on Machine Learning (ICML), ser. PMLR, vol. 70, 2017, pp. 1321--1330.</w:t>
      </w:r>
    </w:p>
    <w:p>
      <w:pPr>
        <w:spacing w:before="0" w:after="20" w:line="240" w:lineRule="auto"/>
      </w:pPr>
      <w:r>
        <w:rPr>
          <w:rFonts w:ascii="Times New Roman" w:hAnsi="Times New Roman" w:eastAsia="Times New Roman"/>
          <w:b w:val="0"/>
          <w:i w:val="0"/>
          <w:sz w:val="15"/>
        </w:rPr>
        <w:t>[14] S. M. Lundberg and S.-I. Lee, "A unified approach to interpreting model predictions," in Advances in Neural Information Processing Systems (NeurIPS), vol. 30, 2017, pp. 4765--4774.</w:t>
      </w:r>
    </w:p>
    <w:p>
      <w:pPr>
        <w:spacing w:before="0" w:after="20" w:line="240" w:lineRule="auto"/>
      </w:pPr>
      <w:r>
        <w:rPr>
          <w:rFonts w:ascii="Times New Roman" w:hAnsi="Times New Roman" w:eastAsia="Times New Roman"/>
          <w:b w:val="0"/>
          <w:i w:val="0"/>
          <w:sz w:val="15"/>
        </w:rPr>
        <w:t>[15] S. M. Lundberg, G. Erion, H. Chen, A. DeGrave, J. M. Prutkin, B. Nair, R. Katz, J. Himmelfarb, N. Bansal, and S.-I. Lee, "From local explanations to global understanding with explainable AI for trees," Nature Machine Intelligence, vol. 2, no. 1, pp. 56--67, 2020, doi: 10.1038/s42256-019-0138-9.</w:t>
      </w:r>
    </w:p>
    <w:p>
      <w:pPr>
        <w:spacing w:before="0" w:after="20" w:line="240" w:lineRule="auto"/>
      </w:pPr>
      <w:r>
        <w:rPr>
          <w:rFonts w:ascii="Times New Roman" w:hAnsi="Times New Roman" w:eastAsia="Times New Roman"/>
          <w:b w:val="0"/>
          <w:i w:val="0"/>
          <w:sz w:val="15"/>
        </w:rPr>
        <w:t>[16] M. T. Ribeiro, S. Singh, and C. Guestrin, ""why should I trust you?": Explaining the predictions of any classifier," in Proc. 22nd ACM SIGKDD Int. Conf. on Knowledge Discovery and Data Mining, 2016, pp. 1135--1144, doi: 10.1145/2939672.2939778.</w:t>
      </w:r>
    </w:p>
    <w:p>
      <w:pPr>
        <w:spacing w:before="0" w:after="20" w:line="240" w:lineRule="auto"/>
      </w:pPr>
      <w:r>
        <w:rPr>
          <w:rFonts w:ascii="Times New Roman" w:hAnsi="Times New Roman" w:eastAsia="Times New Roman"/>
          <w:b w:val="0"/>
          <w:i w:val="0"/>
          <w:sz w:val="15"/>
        </w:rPr>
        <w:t>[17] C. Rudin, "Stop explaining black box machine learning models for high stakes decisions and use interpretable models instead," Nature Machine Intelligence, vol. 1, no. 5, pp. 206--215, 2019, doi: 10.1038/s42256-019-0048-x.</w:t>
      </w:r>
    </w:p>
    <w:p>
      <w:pPr>
        <w:spacing w:before="0" w:after="20" w:line="240" w:lineRule="auto"/>
      </w:pPr>
      <w:r>
        <w:rPr>
          <w:rFonts w:ascii="Times New Roman" w:hAnsi="Times New Roman" w:eastAsia="Times New Roman"/>
          <w:b w:val="0"/>
          <w:i w:val="0"/>
          <w:sz w:val="15"/>
        </w:rPr>
        <w:t>[18] R. Caruana, Y. Lou, J. Gehrke, P. Koch, M. Sturm, and N. Elhadad, "Intelligible models for healthcare: Predicting pneumonia risk and hospital 30-day readmission," in Proc. 21st ACM SIGKDD Int. Conf. on Knowledge Discovery and Data Mining, 2015, pp. 1721--1730, doi: 10.1145/2783258.2788613.</w:t>
      </w:r>
    </w:p>
    <w:p>
      <w:pPr>
        <w:spacing w:before="0" w:after="20" w:line="240" w:lineRule="auto"/>
      </w:pPr>
      <w:r>
        <w:rPr>
          <w:rFonts w:ascii="Times New Roman" w:hAnsi="Times New Roman" w:eastAsia="Times New Roman"/>
          <w:b w:val="0"/>
          <w:i w:val="0"/>
          <w:sz w:val="15"/>
        </w:rPr>
        <w:t>[19] M. Ghassemi, L. Oakden-Rayner, and A. L. Beam, "The false hope of current approaches to explainable artificial intelligence in health care," The Lancet Digital Health, vol. 3, no. 11, pp. e745--e750, 2021, doi: 10.1016/S2589-7500(21)00208-9.</w:t>
      </w:r>
    </w:p>
    <w:p>
      <w:pPr>
        <w:spacing w:before="0" w:after="20" w:line="240" w:lineRule="auto"/>
      </w:pPr>
      <w:r>
        <w:rPr>
          <w:rFonts w:ascii="Times New Roman" w:hAnsi="Times New Roman" w:eastAsia="Times New Roman"/>
          <w:b w:val="0"/>
          <w:i w:val="0"/>
          <w:sz w:val="15"/>
        </w:rPr>
        <w:t>[20] T. Saito and M. Rehmsmeier, "The precision-recall plot is more informative than the ROC plot when evaluating binary classifiers on imbalanced datasets," PLoS ONE, vol. 10, no. 3, p. e0118432, 2015, doi: 10.1371/journal.pone.0118432.</w:t>
      </w:r>
    </w:p>
    <w:p>
      <w:pPr>
        <w:spacing w:before="0" w:after="20" w:line="240" w:lineRule="auto"/>
      </w:pPr>
      <w:r>
        <w:rPr>
          <w:rFonts w:ascii="Times New Roman" w:hAnsi="Times New Roman" w:eastAsia="Times New Roman"/>
          <w:b w:val="0"/>
          <w:i w:val="0"/>
          <w:sz w:val="15"/>
        </w:rPr>
        <w:t>[21] H. He and E. A. Garcia, "Learning from imbalanced data," IEEE Transactions on Knowledge and Data Engineering, vol. 21, no. 9, pp. 1263--1284, 2009, doi: 10.1109/TKDE.2008.239.</w:t>
      </w:r>
    </w:p>
    <w:p>
      <w:pPr>
        <w:spacing w:before="0" w:after="20" w:line="240" w:lineRule="auto"/>
      </w:pPr>
      <w:r>
        <w:rPr>
          <w:rFonts w:ascii="Times New Roman" w:hAnsi="Times New Roman" w:eastAsia="Times New Roman"/>
          <w:b w:val="0"/>
          <w:i w:val="0"/>
          <w:sz w:val="15"/>
        </w:rPr>
        <w:t>[22] D. Chicco and G. Jurman, "The advantages of the Matthews correlation coefficient (MCC) over F1 score and accuracy in binary classification evaluation," BMC Genomics, vol. 21, no. 1, p. 6, 2020, doi: 10.1186/s12864-019-6413-7.</w:t>
      </w:r>
    </w:p>
    <w:p>
      <w:pPr>
        <w:spacing w:before="0" w:after="20" w:line="240" w:lineRule="auto"/>
      </w:pPr>
      <w:r>
        <w:rPr>
          <w:rFonts w:ascii="Times New Roman" w:hAnsi="Times New Roman" w:eastAsia="Times New Roman"/>
          <w:b w:val="0"/>
          <w:i w:val="0"/>
          <w:sz w:val="15"/>
        </w:rPr>
        <w:t>[23] A. Teboul, "Diabetes health indicators dataset," Kaggle, 2021, derived from the CDC Behavioral Risk Factor Surveillance System (BRFSS) 2015. [Online]. Available: https://www.kaggle.com/datasets/alexteboul/diabetes-health-indicators-dataset.</w:t>
      </w:r>
    </w:p>
    <w:p>
      <w:pPr>
        <w:spacing w:before="0" w:after="20" w:line="240" w:lineRule="auto"/>
      </w:pPr>
      <w:r>
        <w:rPr>
          <w:rFonts w:ascii="Times New Roman" w:hAnsi="Times New Roman" w:eastAsia="Times New Roman"/>
          <w:b w:val="0"/>
          <w:i w:val="0"/>
          <w:sz w:val="15"/>
        </w:rPr>
        <w:t>[24] Centers for Disease Control and Prevention, "Behavioral risk factor surveillance system (brfss) 2015 survey data and documentation," U.S. Department of Health and Human Services, CDC, Tech. Rep., 2015.</w:t>
      </w:r>
    </w:p>
    <w:p>
      <w:pPr>
        <w:spacing w:before="0" w:after="20" w:line="240" w:lineRule="auto"/>
      </w:pPr>
      <w:r>
        <w:rPr>
          <w:rFonts w:ascii="Times New Roman" w:hAnsi="Times New Roman" w:eastAsia="Times New Roman"/>
          <w:b w:val="0"/>
          <w:i w:val="0"/>
          <w:sz w:val="15"/>
        </w:rPr>
        <w:t>[25]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p>
      <w:pPr>
        <w:spacing w:before="0" w:after="20" w:line="240" w:lineRule="auto"/>
      </w:pPr>
      <w:r>
        <w:rPr>
          <w:rFonts w:ascii="Times New Roman" w:hAnsi="Times New Roman" w:eastAsia="Times New Roman"/>
          <w:b w:val="0"/>
          <w:i w:val="0"/>
          <w:sz w:val="15"/>
        </w:rPr>
        <w:t>[26] L. Breiman, "Random forests," Machine Learning, vol. 45, no. 1, pp. 5--32, 2001, doi: 10.1023/A:1010933404324.</w:t>
      </w:r>
    </w:p>
    <w:p>
      <w:pPr>
        <w:spacing w:before="0" w:after="20" w:line="240" w:lineRule="auto"/>
      </w:pPr>
      <w:r>
        <w:rPr>
          <w:rFonts w:ascii="Times New Roman" w:hAnsi="Times New Roman" w:eastAsia="Times New Roman"/>
          <w:b w:val="0"/>
          <w:i w:val="0"/>
          <w:sz w:val="15"/>
        </w:rPr>
        <w:t>[27] J. H. Friedman, "Greedy function approximation: A gradient boosting machine," Annals of Statistics, vol. 29, no. 5, pp. 1189--1232, 2001, doi: 10.1214/aos/1013203451.</w:t>
      </w:r>
    </w:p>
    <w:p>
      <w:pPr>
        <w:spacing w:before="0" w:after="20" w:line="240" w:lineRule="auto"/>
      </w:pPr>
      <w:r>
        <w:rPr>
          <w:rFonts w:ascii="Times New Roman" w:hAnsi="Times New Roman" w:eastAsia="Times New Roman"/>
          <w:b w:val="0"/>
          <w:i w:val="0"/>
          <w:sz w:val="15"/>
        </w:rPr>
        <w:t>[28] T. Chen and C. Guestrin, "XGBoost: A scalable tree boosting system," in Proc. 22nd ACM SIGKDD Int. Conf. on Knowledge Discovery and Data Mining (KDD), 2016, pp. 785--794, doi: 10.1145/2939672.2939785.</w:t>
      </w:r>
    </w:p>
    <w:p>
      <w:pPr>
        <w:spacing w:before="0" w:after="20" w:line="240" w:lineRule="auto"/>
      </w:pPr>
      <w:r>
        <w:rPr>
          <w:rFonts w:ascii="Times New Roman" w:hAnsi="Times New Roman" w:eastAsia="Times New Roman"/>
          <w:b w:val="0"/>
          <w:i w:val="0"/>
          <w:sz w:val="15"/>
        </w:rPr>
        <w:t>[29] G. Ke, Q. Meng, T. Finley, T. Wang, W. Chen, W. Ma, Q. Ye, and T.-Y. Liu, "LightGBM: A highly efficient gradient boosting decision tree," in Advances in Neural Information Processing Systems (NeurIPS), vol. 30, 2017, pp. 3146--3154.</w:t>
      </w:r>
    </w:p>
    <w:p>
      <w:pPr>
        <w:spacing w:before="0" w:after="20" w:line="240" w:lineRule="auto"/>
      </w:pPr>
      <w:r>
        <w:rPr>
          <w:rFonts w:ascii="Times New Roman" w:hAnsi="Times New Roman" w:eastAsia="Times New Roman"/>
          <w:b w:val="0"/>
          <w:i w:val="0"/>
          <w:sz w:val="15"/>
        </w:rPr>
        <w:t>[30] T. Cover and P. Hart, "Nearest neighbor pattern classification," IEEE Transactions on Information Theory, vol. 13, no. 1, pp. 21--27, 1967, doi: 10.1109/TIT.1967.1053964.</w:t>
      </w:r>
    </w:p>
    <w:p>
      <w:pPr>
        <w:spacing w:before="0" w:after="20" w:line="240" w:lineRule="auto"/>
      </w:pPr>
      <w:r>
        <w:rPr>
          <w:rFonts w:ascii="Times New Roman" w:hAnsi="Times New Roman" w:eastAsia="Times New Roman"/>
          <w:b w:val="0"/>
          <w:i w:val="0"/>
          <w:sz w:val="15"/>
        </w:rPr>
        <w:t>[31] C. Cortes and V. Vapnik, "Support-vector networks," Machine Learning, vol. 20, no. 3, pp. 273--297, 1995, doi: 10.1007/BF00994018.</w:t>
      </w:r>
    </w:p>
    <w:p>
      <w:pPr>
        <w:spacing w:before="0" w:after="20" w:line="240" w:lineRule="auto"/>
      </w:pPr>
      <w:r>
        <w:rPr>
          <w:rFonts w:ascii="Times New Roman" w:hAnsi="Times New Roman" w:eastAsia="Times New Roman"/>
          <w:b w:val="0"/>
          <w:i w:val="0"/>
          <w:sz w:val="15"/>
        </w:rPr>
        <w:t>[32] J. Demšar, "Statistical comparisons of classifiers over multiple data sets," Journal of Machine Learning Research, vol. 7, pp. 1--30, 2006.</w:t>
      </w:r>
    </w:p>
    <w:p>
      <w:pPr>
        <w:spacing w:before="0" w:after="20" w:line="240" w:lineRule="auto"/>
      </w:pPr>
      <w:r>
        <w:rPr>
          <w:rFonts w:ascii="Times New Roman" w:hAnsi="Times New Roman" w:eastAsia="Times New Roman"/>
          <w:b w:val="0"/>
          <w:i w:val="0"/>
          <w:sz w:val="15"/>
        </w:rPr>
        <w:t>[33] N. A. ElSayed et al., "2. classification and diagnosis of diabetes: Standards of care in diabetes - 2023," Diabetes Care, vol. 46, no. Supplement 1, pp. S19--S40, 2023, doi: 10.2337/dc23-S002.</w:t>
      </w:r>
    </w:p>
    <w:p>
      <w:pPr>
        <w:spacing w:before="0" w:after="20" w:line="240" w:lineRule="auto"/>
      </w:pPr>
      <w:r>
        <w:rPr>
          <w:rFonts w:ascii="Times New Roman" w:hAnsi="Times New Roman" w:eastAsia="Times New Roman"/>
          <w:b w:val="0"/>
          <w:i w:val="0"/>
          <w:sz w:val="15"/>
        </w:rPr>
        <w:t>[34] I. Tasin, T. U. Nabil, S. Islam, and R. Khan, "Diabetes prediction using machine learning and explainable AI techniques," Healthcare Technology Letters, vol. 10, no. 1-2, pp. 1--10, 2023, doi: 10.1049/htl2.12039.</w:t>
      </w:r>
    </w:p>
    <w:p>
      <w:pPr>
        <w:spacing w:before="0" w:after="20" w:line="240" w:lineRule="auto"/>
      </w:pPr>
      <w:r>
        <w:rPr>
          <w:rFonts w:ascii="Times New Roman" w:hAnsi="Times New Roman" w:eastAsia="Times New Roman"/>
          <w:b w:val="0"/>
          <w:i w:val="0"/>
          <w:sz w:val="15"/>
        </w:rPr>
        <w:t>[35] G. S. Collins et al., "TRIPOD+AI statement: Updated guidance for reporting clinical prediction models that use regression or machine learning methods," BMJ, vol. 385, p. e078378, 2024, doi: 10.1136/bmj-2023-078378.</w:t>
      </w:r>
    </w:p>
    <w:sectPr w:rsidR="0035712E" w:rsidRPr="006E3B31" w:rsidSect="000C1314">
      <w:headerReference w:type="default" r:id="rId48"/>
      <w:headerReference w:type="first" r:id="rId49"/>
      <w:headerReference w:type="even" r:id="rId50"/>
      <w:footerReference w:type="default" r:id="rId51"/>
      <w:footerReference w:type="first" r:id="rId52"/>
      <w:footerReference w:type="even" r:id="rId53"/>
      <w:pgSz w:w="12240" w:h="18720" w:code="14"/>
      <w:pgMar w:top="1138" w:right="1138" w:bottom="1138" w:left="1138" w:header="403" w:footer="403"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8A973" w14:textId="77777777" w:rsidR="00F14CF4" w:rsidRDefault="00F14CF4" w:rsidP="006958DE">
      <w:pPr>
        <w:spacing w:after="0" w:line="240" w:lineRule="auto"/>
      </w:pPr>
      <w:r>
        <w:separator/>
      </w:r>
    </w:p>
  </w:endnote>
  <w:endnote w:type="continuationSeparator" w:id="0">
    <w:p w14:paraId="24132B41" w14:textId="77777777" w:rsidR="00F14CF4" w:rsidRDefault="00F14CF4" w:rsidP="00695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peak Pro Light">
    <w:panose1 w:val="020B0304020101020102"/>
    <w:charset w:val="00"/>
    <w:family w:val="swiss"/>
    <w:pitch w:val="variable"/>
    <w:sig w:usb0="8000002F" w:usb1="0000000A" w:usb2="00000000" w:usb3="00000000" w:csb0="0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nionMath-Regular">
    <w:altName w:val="MS Mincho"/>
    <w:panose1 w:val="020B06040202020202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rFonts w:ascii="Times New Roman" w:hAnsi="Times New Roman" w:eastAsia="Times New Roman"/>
        <w:b w:val="0"/>
        <w:i w:val="0"/>
        <w:color w:val="595959"/>
        <w:sz w:val="16"/>
      </w:rPr>
      <w:t>ISSN-On line: Use Only ECORFAN | ECORFAN all rights reserved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b w:val="0"/>
        <w:i w:val="0"/>
        <w:color w:val="595959"/>
        <w:sz w:val="16"/>
      </w:rPr>
      <w:t>ISSN-On line: Use Only ECORFAN | ECORFAN all rights reserved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b w:val="0"/>
        <w:i w:val="0"/>
        <w:color w:val="595959"/>
        <w:sz w:val="16"/>
      </w:rPr>
      <w:t>ISSN-On line: Use Only ECORFAN | ECORFAN all rights reserved</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b w:val="0"/>
        <w:i w:val="0"/>
        <w:color w:val="595959"/>
        <w:sz w:val="16"/>
      </w:rPr>
      <w:t>ISSN-On line: Use Only ECORFAN | ECORFAN all rights reserved</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b w:val="0"/>
        <w:i w:val="0"/>
        <w:color w:val="595959"/>
        <w:sz w:val="16"/>
      </w:rPr>
      <w:t>ISSN-On line: Use Only ECORFAN | ECORFAN all rights reserved</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b w:val="0"/>
        <w:i w:val="0"/>
        <w:color w:val="595959"/>
        <w:sz w:val="16"/>
      </w:rPr>
      <w:t>ISSN-On line: Use Only ECORFAN | ECORFAN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27B56" w14:textId="77777777" w:rsidR="00F14CF4" w:rsidRDefault="00F14CF4" w:rsidP="006958DE">
      <w:pPr>
        <w:spacing w:after="0" w:line="240" w:lineRule="auto"/>
      </w:pPr>
      <w:r>
        <w:separator/>
      </w:r>
    </w:p>
  </w:footnote>
  <w:footnote w:type="continuationSeparator" w:id="0">
    <w:p w14:paraId="7F5398EA" w14:textId="77777777" w:rsidR="00F14CF4" w:rsidRDefault="00F14CF4" w:rsidP="00695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498089"/>
      <w:docPartObj>
        <w:docPartGallery w:val="Page Numbers (Top of Page)"/>
        <w:docPartUnique/>
      </w:docPartObj>
    </w:sdtPr>
    <w:sdtContent>
      <w:p w14:paraId="5DEF65A1" w14:textId="77777777" w:rsidR="00172454" w:rsidRPr="00172454" w:rsidRDefault="00172454" w:rsidP="00172454">
        <w:pPr>
          <w:pStyle w:val="Encabezado"/>
          <w:rPr>
            <w:rFonts w:ascii="Times New Roman" w:hAnsi="Times New Roman"/>
            <w:sz w:val="24"/>
            <w:szCs w:val="24"/>
            <w:lang w:val="en-GB"/>
          </w:rPr>
        </w:pPr>
      </w:p>
      <w:p w14:paraId="441AA961" w14:textId="402FA9DA" w:rsidR="00172454" w:rsidRPr="00685060" w:rsidRDefault="00172454" w:rsidP="00172454">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4DE0CA8D" w14:textId="7674DE98" w:rsidR="00172454" w:rsidRDefault="00B27943"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val="es-EC" w:eastAsia="es-EC"/>
          </w:rPr>
          <mc:AlternateContent>
            <mc:Choice Requires="wps">
              <w:drawing>
                <wp:anchor distT="4294967295" distB="4294967295" distL="114300" distR="114300" simplePos="0" relativeHeight="251664384" behindDoc="0" locked="0" layoutInCell="1" allowOverlap="1" wp14:anchorId="51080EF8" wp14:editId="3BA2925E">
                  <wp:simplePos x="0" y="0"/>
                  <wp:positionH relativeFrom="column">
                    <wp:posOffset>3175</wp:posOffset>
                  </wp:positionH>
                  <wp:positionV relativeFrom="paragraph">
                    <wp:posOffset>5715</wp:posOffset>
                  </wp:positionV>
                  <wp:extent cx="6300000" cy="0"/>
                  <wp:effectExtent l="0" t="0" r="0" b="0"/>
                  <wp:wrapNone/>
                  <wp:docPr id="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A5A7D16" id="3 Conector recto"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sidR="00172454">
          <w:rPr>
            <w:rFonts w:ascii="Times New Roman" w:hAnsi="Times New Roman"/>
            <w:sz w:val="24"/>
            <w:szCs w:val="24"/>
            <w:lang w:val="en-GB"/>
          </w:rPr>
          <w:t>Article</w:t>
        </w:r>
      </w:p>
      <w:p w14:paraId="1AD8B5A3" w14:textId="36A9EC77" w:rsidR="00172454" w:rsidRPr="00172454" w:rsidRDefault="00172454" w:rsidP="00172454">
        <w:pPr>
          <w:pStyle w:val="Encabezado"/>
          <w:jc w:val="both"/>
          <w:rPr>
            <w:rFonts w:ascii="Times New Roman" w:hAnsi="Times New Roman"/>
            <w:sz w:val="24"/>
            <w:szCs w:val="24"/>
            <w:lang w:val="en-GB"/>
          </w:rPr>
        </w:pPr>
        <w:r>
          <w:rPr>
            <w:rFonts w:ascii="Times New Roman" w:hAnsi="Times New Roman"/>
            <w:sz w:val="24"/>
            <w:szCs w:val="24"/>
            <w:lang w:val="en-GB"/>
          </w:rP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82747"/>
      <w:docPartObj>
        <w:docPartGallery w:val="Page Numbers (Top of Page)"/>
        <w:docPartUnique/>
      </w:docPartObj>
    </w:sdtPr>
    <w:sdtContent>
      <w:p w14:paraId="0EB5B88A" w14:textId="77777777" w:rsidR="00685060" w:rsidRPr="00172454" w:rsidRDefault="00685060" w:rsidP="00685060">
        <w:pPr>
          <w:pStyle w:val="Encabezado"/>
          <w:rPr>
            <w:rFonts w:ascii="Times New Roman" w:hAnsi="Times New Roman"/>
            <w:sz w:val="24"/>
            <w:szCs w:val="24"/>
            <w:lang w:val="en-GB"/>
          </w:rPr>
        </w:pPr>
      </w:p>
      <w:p w14:paraId="6C754D16" w14:textId="26D4EAB2" w:rsidR="00685060" w:rsidRPr="00685060" w:rsidRDefault="00685060" w:rsidP="00685060">
        <w:pPr>
          <w:pStyle w:val="Encabezado"/>
          <w:jc w:val="both"/>
          <w:rPr>
            <w:rFonts w:ascii="Times New Roman" w:hAnsi="Times New Roman"/>
            <w:lang w:val="en-GB"/>
          </w:rPr>
        </w:pPr>
        <w:r w:rsidRPr="00685060">
          <w:rPr>
            <w:rFonts w:ascii="Times New Roman" w:hAnsi="Times New Roman"/>
            <w:b/>
            <w:sz w:val="28"/>
            <w:szCs w:val="28"/>
            <w:lang w:val="en-GB"/>
          </w:rPr>
          <w:t>ECORFAN Journal</w:t>
        </w:r>
        <w:r>
          <w:rPr>
            <w:rFonts w:ascii="Times New Roman" w:hAnsi="Times New Roman"/>
            <w:lang w:val="en-GB"/>
          </w:rPr>
          <w:tab/>
        </w:r>
        <w:r>
          <w:rPr>
            <w:rFonts w:ascii="Times New Roman" w:hAnsi="Times New Roman"/>
            <w:lang w:val="en-GB"/>
          </w:rPr>
          <w:tab/>
          <w:t xml:space="preserve">              </w:t>
        </w:r>
        <w:r w:rsidRPr="00007613">
          <w:rPr>
            <w:rStyle w:val="hps"/>
            <w:rFonts w:ascii="Times New Roman" w:hAnsi="Times New Roman"/>
            <w:lang w:val="en-GB"/>
          </w:rPr>
          <w:t>Month</w:t>
        </w:r>
        <w:r w:rsidRPr="00007613">
          <w:rPr>
            <w:rFonts w:ascii="Times New Roman" w:hAnsi="Times New Roman"/>
            <w:sz w:val="24"/>
            <w:szCs w:val="24"/>
            <w:lang w:val="en-GB"/>
          </w:rPr>
          <w:t xml:space="preserve">, </w:t>
        </w:r>
        <w:r>
          <w:rPr>
            <w:rFonts w:ascii="Times New Roman" w:hAnsi="Times New Roman"/>
            <w:sz w:val="24"/>
            <w:szCs w:val="24"/>
            <w:lang w:val="en-GB"/>
          </w:rPr>
          <w:t>Year</w:t>
        </w:r>
        <w:r w:rsidRPr="00007613">
          <w:rPr>
            <w:rFonts w:ascii="Times New Roman" w:hAnsi="Times New Roman"/>
            <w:sz w:val="24"/>
            <w:szCs w:val="24"/>
            <w:lang w:val="en-GB"/>
          </w:rPr>
          <w:t xml:space="preserve"> Vol.1 No.1 1-15</w:t>
        </w:r>
        <w:proofErr w:type="gramStart"/>
        <w:r w:rsidRPr="00007613">
          <w:rPr>
            <w:rFonts w:ascii="Times New Roman" w:hAnsi="Times New Roman"/>
            <w:sz w:val="24"/>
            <w:szCs w:val="24"/>
            <w:lang w:val="en-GB"/>
          </w:rPr>
          <w:t>-[</w:t>
        </w:r>
        <w:proofErr w:type="gramEnd"/>
        <w:r w:rsidRPr="00007613">
          <w:rPr>
            <w:rStyle w:val="hps"/>
            <w:rFonts w:ascii="Times New Roman" w:hAnsi="Times New Roman"/>
            <w:lang w:val="en-GB"/>
          </w:rPr>
          <w:t xml:space="preserve">Using </w:t>
        </w:r>
        <w:r w:rsidRPr="00007613">
          <w:rPr>
            <w:rFonts w:ascii="Times New Roman" w:hAnsi="Times New Roman"/>
            <w:sz w:val="24"/>
            <w:szCs w:val="24"/>
            <w:lang w:val="en-GB"/>
          </w:rPr>
          <w:t>ECORFAN]</w:t>
        </w:r>
      </w:p>
      <w:p w14:paraId="660AC75B" w14:textId="77777777" w:rsidR="00685060" w:rsidRDefault="00685060" w:rsidP="00685060">
        <w:pPr>
          <w:pStyle w:val="Encabezado"/>
          <w:tabs>
            <w:tab w:val="left" w:pos="5529"/>
          </w:tabs>
          <w:jc w:val="both"/>
          <w:rPr>
            <w:rFonts w:ascii="Times New Roman" w:hAnsi="Times New Roman"/>
            <w:sz w:val="24"/>
            <w:szCs w:val="24"/>
            <w:lang w:val="en-GB"/>
          </w:rPr>
        </w:pPr>
        <w:r w:rsidRPr="00B27943">
          <w:rPr>
            <w:rFonts w:ascii="Times New Roman" w:hAnsi="Times New Roman"/>
            <w:b/>
            <w:noProof/>
            <w:sz w:val="32"/>
            <w:szCs w:val="32"/>
            <w:lang w:val="es-EC" w:eastAsia="es-EC"/>
          </w:rPr>
          <mc:AlternateContent>
            <mc:Choice Requires="wps">
              <w:drawing>
                <wp:anchor distT="4294967295" distB="4294967295" distL="114300" distR="114300" simplePos="0" relativeHeight="251666432" behindDoc="0" locked="0" layoutInCell="1" allowOverlap="1" wp14:anchorId="2E94702F" wp14:editId="0FA08AA7">
                  <wp:simplePos x="0" y="0"/>
                  <wp:positionH relativeFrom="column">
                    <wp:posOffset>3175</wp:posOffset>
                  </wp:positionH>
                  <wp:positionV relativeFrom="paragraph">
                    <wp:posOffset>5715</wp:posOffset>
                  </wp:positionV>
                  <wp:extent cx="6300000" cy="0"/>
                  <wp:effectExtent l="0" t="0" r="0" b="0"/>
                  <wp:wrapNone/>
                  <wp:docPr id="62683483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0000" cy="0"/>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BAFCC5D" id="3 Conector recto"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45pt" to="496.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" strokeweight="1pt">
                  <o:lock v:ext="edit" shapetype="f"/>
                </v:line>
              </w:pict>
            </mc:Fallback>
          </mc:AlternateContent>
        </w:r>
        <w:r>
          <w:rPr>
            <w:rFonts w:ascii="Times New Roman" w:hAnsi="Times New Roman"/>
            <w:sz w:val="24"/>
            <w:szCs w:val="24"/>
            <w:lang w:val="en-GB"/>
          </w:rPr>
          <w:t>Article</w:t>
        </w:r>
      </w:p>
      <w:p w14:paraId="67FDA55B" w14:textId="15E75093" w:rsidR="00347D82" w:rsidRPr="00685060" w:rsidRDefault="00000000" w:rsidP="00685060">
        <w:pPr>
          <w:pStyle w:val="Encabezado"/>
          <w:tabs>
            <w:tab w:val="left" w:pos="5529"/>
          </w:tabs>
          <w:jc w:val="both"/>
          <w:rPr>
            <w:rFonts w:ascii="Times New Roman" w:hAnsi="Times New Roman"/>
            <w:sz w:val="24"/>
            <w:szCs w:val="24"/>
            <w:lang w:val="en-GB"/>
          </w:rPr>
        </w:pPr>
      </w:p>
    </w:sdtContent>
  </w:sdt>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2" w:color="7F7F7F"/>
      </w:pBdr>
    </w:pPr>
    <w:r>
      <w:rPr>
        <w:rFonts w:ascii="Times New Roman" w:hAnsi="Times New Roman" w:eastAsia="Times New Roman"/>
        <w:b/>
        <w:i w:val="0"/>
        <w:color w:val="203764"/>
        <w:sz w:val="28"/>
      </w:rPr>
      <w:t>ECORFAN Journal</w:t>
    </w:r>
    <w:r>
      <w:rPr>
        <w:rFonts w:ascii="Times New Roman" w:hAnsi="Times New Roman" w:eastAsia="Times New Roman"/>
        <w:b w:val="0"/>
        <w:i w:val="0"/>
        <w:color w:val="595959"/>
        <w:sz w:val="17"/>
      </w:rPr>
      <w:tab/>
      <w:t>October, 2026 Vol.1 No.1 1-7-[Using ECORFAN]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A1D77"/>
    <w:multiLevelType w:val="hybridMultilevel"/>
    <w:tmpl w:val="135064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552CFB"/>
    <w:multiLevelType w:val="hybridMultilevel"/>
    <w:tmpl w:val="896A2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5C2186"/>
    <w:multiLevelType w:val="hybridMultilevel"/>
    <w:tmpl w:val="9CF4DBA2"/>
    <w:lvl w:ilvl="0" w:tplc="24FC5160">
      <w:start w:val="1"/>
      <w:numFmt w:val="bullet"/>
      <w:lvlText w:val="-"/>
      <w:lvlJc w:val="left"/>
      <w:pPr>
        <w:ind w:left="720" w:hanging="360"/>
      </w:pPr>
      <w:rPr>
        <w:rFonts w:ascii="Speak Pro Light" w:hAnsi="Speak Pro Light"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EC17857"/>
    <w:multiLevelType w:val="hybridMultilevel"/>
    <w:tmpl w:val="981C027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28421679">
    <w:abstractNumId w:val="2"/>
  </w:num>
  <w:num w:numId="2" w16cid:durableId="1750929709">
    <w:abstractNumId w:val="1"/>
  </w:num>
  <w:num w:numId="3" w16cid:durableId="1431044959">
    <w:abstractNumId w:val="0"/>
  </w:num>
  <w:num w:numId="4" w16cid:durableId="1676150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8DE"/>
    <w:rsid w:val="000120EF"/>
    <w:rsid w:val="00055993"/>
    <w:rsid w:val="000C1314"/>
    <w:rsid w:val="0010285B"/>
    <w:rsid w:val="0011181B"/>
    <w:rsid w:val="00143F65"/>
    <w:rsid w:val="00172454"/>
    <w:rsid w:val="001A083E"/>
    <w:rsid w:val="001A1C46"/>
    <w:rsid w:val="001E5DD8"/>
    <w:rsid w:val="00252090"/>
    <w:rsid w:val="002A6CBA"/>
    <w:rsid w:val="00347D82"/>
    <w:rsid w:val="0035004B"/>
    <w:rsid w:val="0035712E"/>
    <w:rsid w:val="00364F2B"/>
    <w:rsid w:val="00377B94"/>
    <w:rsid w:val="003A3F3D"/>
    <w:rsid w:val="00410D62"/>
    <w:rsid w:val="00414AB7"/>
    <w:rsid w:val="00473764"/>
    <w:rsid w:val="004922BC"/>
    <w:rsid w:val="004A624A"/>
    <w:rsid w:val="004B0533"/>
    <w:rsid w:val="004C7445"/>
    <w:rsid w:val="004D0E2D"/>
    <w:rsid w:val="004F074F"/>
    <w:rsid w:val="00565A7D"/>
    <w:rsid w:val="005764F4"/>
    <w:rsid w:val="005D1D43"/>
    <w:rsid w:val="00615D1A"/>
    <w:rsid w:val="00621A1A"/>
    <w:rsid w:val="006330D2"/>
    <w:rsid w:val="00637DA4"/>
    <w:rsid w:val="006643E1"/>
    <w:rsid w:val="00685060"/>
    <w:rsid w:val="006958DE"/>
    <w:rsid w:val="006A4E0E"/>
    <w:rsid w:val="006E3B31"/>
    <w:rsid w:val="007B091A"/>
    <w:rsid w:val="007E55C7"/>
    <w:rsid w:val="007F6DDC"/>
    <w:rsid w:val="00817963"/>
    <w:rsid w:val="00820EF0"/>
    <w:rsid w:val="00870418"/>
    <w:rsid w:val="008A0405"/>
    <w:rsid w:val="008A308C"/>
    <w:rsid w:val="008A66ED"/>
    <w:rsid w:val="008B3FF2"/>
    <w:rsid w:val="008C05FC"/>
    <w:rsid w:val="00906D36"/>
    <w:rsid w:val="009138EC"/>
    <w:rsid w:val="00940E28"/>
    <w:rsid w:val="009448C0"/>
    <w:rsid w:val="009964CB"/>
    <w:rsid w:val="009C54BA"/>
    <w:rsid w:val="00A00A67"/>
    <w:rsid w:val="00AA51E1"/>
    <w:rsid w:val="00AF444A"/>
    <w:rsid w:val="00B01A77"/>
    <w:rsid w:val="00B23DAA"/>
    <w:rsid w:val="00B268C3"/>
    <w:rsid w:val="00B27943"/>
    <w:rsid w:val="00B41728"/>
    <w:rsid w:val="00B52812"/>
    <w:rsid w:val="00BA7B7F"/>
    <w:rsid w:val="00BB6835"/>
    <w:rsid w:val="00BD1620"/>
    <w:rsid w:val="00C0136D"/>
    <w:rsid w:val="00C132D4"/>
    <w:rsid w:val="00C2418B"/>
    <w:rsid w:val="00C6378A"/>
    <w:rsid w:val="00C931CD"/>
    <w:rsid w:val="00D00AE3"/>
    <w:rsid w:val="00D15B18"/>
    <w:rsid w:val="00D265E7"/>
    <w:rsid w:val="00D760A7"/>
    <w:rsid w:val="00DA20E3"/>
    <w:rsid w:val="00DF457E"/>
    <w:rsid w:val="00E0651A"/>
    <w:rsid w:val="00E14A1F"/>
    <w:rsid w:val="00E3647A"/>
    <w:rsid w:val="00E504B2"/>
    <w:rsid w:val="00E62457"/>
    <w:rsid w:val="00EA034C"/>
    <w:rsid w:val="00EB5732"/>
    <w:rsid w:val="00EB72CE"/>
    <w:rsid w:val="00EC2A4B"/>
    <w:rsid w:val="00EC3424"/>
    <w:rsid w:val="00EC68BE"/>
    <w:rsid w:val="00EF779F"/>
    <w:rsid w:val="00EF7C68"/>
    <w:rsid w:val="00F14CF4"/>
    <w:rsid w:val="00F30027"/>
    <w:rsid w:val="00F61168"/>
    <w:rsid w:val="00F77742"/>
    <w:rsid w:val="00FB797E"/>
    <w:rsid w:val="00FE1AF6"/>
    <w:rsid w:val="00FF4217"/>
  </w:rsids>
  <m:mathPr>
    <m:mathFont m:val="Cambria Math"/>
    <m:brkBin m:val="before"/>
    <m:brkBinSub m:val="--"/>
    <m:smallFrac m:val="0"/>
    <m:dispDef/>
    <m:lMargin m:val="0"/>
    <m:rMargin m:val="0"/>
    <m:defJc m:val="centerGroup"/>
    <m:wrapIndent m:val="1440"/>
    <m:intLim m:val="subSup"/>
    <m:naryLim m:val="undOvr"/>
  </m:mathPr>
  <w:themeFontLang w:val="es-MX"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30B0C"/>
  <w15:chartTrackingRefBased/>
  <w15:docId w15:val="{52DA6424-FFBF-418E-A0AF-1154ADB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835"/>
    <w:pPr>
      <w:spacing w:after="60" w:line="240" w:lineRule="auto"/>
    </w:pPr>
    <w:rPr>
      <w:rFonts w:ascii="Times New Roman" w:hAnsi="Times New Roman" w:eastAsia="Times New Roman"/>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EncabezadoCar">
    <w:name w:val="Encabezado Car"/>
    <w:basedOn w:val="Fuentedeprrafopredeter"/>
    <w:link w:val="Encabezado"/>
    <w:uiPriority w:val="99"/>
    <w:rsid w:val="006958DE"/>
    <w:rPr>
      <w:rFonts w:ascii="Calibri" w:eastAsia="Calibri" w:hAnsi="Calibri" w:cs="Times New Roman"/>
      <w:lang w:eastAsia="en-US"/>
    </w:rPr>
  </w:style>
  <w:style w:type="paragraph" w:styleId="Piedepgina">
    <w:name w:val="footer"/>
    <w:basedOn w:val="Normal"/>
    <w:link w:val="PiedepginaCar"/>
    <w:uiPriority w:val="99"/>
    <w:unhideWhenUsed/>
    <w:rsid w:val="006958DE"/>
    <w:pPr>
      <w:tabs>
        <w:tab w:val="center" w:pos="4419"/>
        <w:tab w:val="right" w:pos="8838"/>
      </w:tabs>
      <w:spacing w:after="0" w:line="240" w:lineRule="auto"/>
    </w:pPr>
    <w:rPr>
      <w:rFonts w:ascii="Calibri" w:eastAsia="Calibri" w:hAnsi="Calibri" w:cs="Times New Roman"/>
      <w:lang w:eastAsia="en-US"/>
    </w:rPr>
  </w:style>
  <w:style w:type="character" w:customStyle="1" w:styleId="PiedepginaCar">
    <w:name w:val="Pie de página Car"/>
    <w:basedOn w:val="Fuentedeprrafopredeter"/>
    <w:link w:val="Piedepgina"/>
    <w:uiPriority w:val="99"/>
    <w:rsid w:val="006958DE"/>
    <w:rPr>
      <w:rFonts w:ascii="Calibri" w:eastAsia="Calibri" w:hAnsi="Calibri" w:cs="Times New Roman"/>
      <w:lang w:eastAsia="en-US"/>
    </w:rPr>
  </w:style>
  <w:style w:type="character" w:styleId="Hipervnculo">
    <w:name w:val="Hyperlink"/>
    <w:uiPriority w:val="99"/>
    <w:unhideWhenUsed/>
    <w:rsid w:val="006958DE"/>
    <w:rPr>
      <w:color w:val="0000FF"/>
      <w:u w:val="single"/>
    </w:rPr>
  </w:style>
  <w:style w:type="table" w:styleId="Tablaconcuadrcula">
    <w:name w:val="Table Grid"/>
    <w:basedOn w:val="Tablanormal"/>
    <w:uiPriority w:val="39"/>
    <w:rsid w:val="006958DE"/>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uentedeprrafopredeter"/>
    <w:rsid w:val="006958DE"/>
  </w:style>
  <w:style w:type="character" w:styleId="Mencinsinresolver">
    <w:name w:val="Unresolved Mention"/>
    <w:basedOn w:val="Fuentedeprrafopredeter"/>
    <w:uiPriority w:val="99"/>
    <w:semiHidden/>
    <w:unhideWhenUsed/>
    <w:rsid w:val="007E55C7"/>
    <w:rPr>
      <w:color w:val="605E5C"/>
      <w:shd w:val="clear" w:color="auto" w:fill="E1DFDD"/>
    </w:rPr>
  </w:style>
  <w:style w:type="paragraph" w:styleId="NormalWeb">
    <w:name w:val="Normal (Web)"/>
    <w:basedOn w:val="Normal"/>
    <w:uiPriority w:val="99"/>
    <w:unhideWhenUsed/>
    <w:rsid w:val="00DF457E"/>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aliases w:val="Capítulo,Subtitulo1,توابع,Numbered Items,heading2,heading 3,Нумерованый список,List Paragraph1,ПАРАГРАФ,для моей работы,маркированный,Bullets,List Paragraph (numbered (a)),NUMBERED PARAGRAPH,List Paragraph 1,List_Paragraph"/>
    <w:basedOn w:val="Normal"/>
    <w:link w:val="PrrafodelistaCar"/>
    <w:uiPriority w:val="34"/>
    <w:qFormat/>
    <w:rsid w:val="006330D2"/>
    <w:pPr>
      <w:spacing w:after="0" w:line="240" w:lineRule="auto"/>
      <w:ind w:left="720"/>
      <w:contextualSpacing/>
    </w:pPr>
    <w:rPr>
      <w:rFonts w:ascii="Times New Roman" w:eastAsia="Times New Roman" w:hAnsi="Times New Roman" w:cs="Times New Roman"/>
      <w:sz w:val="24"/>
      <w:szCs w:val="24"/>
      <w:lang w:val="es-ES" w:eastAsia="es-ES"/>
    </w:rPr>
  </w:style>
  <w:style w:type="character" w:customStyle="1" w:styleId="PrrafodelistaCar">
    <w:name w:val="Párrafo de lista Car"/>
    <w:aliases w:val="Capítulo Car,Subtitulo1 Car,توابع Car,Numbered Items Car,heading2 Car,heading 3 Car,Нумерованый список Car,List Paragraph1 Car,ПАРАГРАФ Car,для моей работы Car,маркированный Car,Bullets Car,List Paragraph (numbered (a)) Car"/>
    <w:link w:val="Prrafodelista"/>
    <w:uiPriority w:val="34"/>
    <w:rsid w:val="006330D2"/>
    <w:rPr>
      <w:rFonts w:ascii="Times New Roman" w:eastAsia="Times New Roman" w:hAnsi="Times New Roman" w:cs="Times New Roman"/>
      <w:sz w:val="24"/>
      <w:szCs w:val="24"/>
      <w:lang w:val="es-ES" w:eastAsia="es-ES"/>
    </w:rPr>
  </w:style>
  <w:style w:type="character" w:styleId="Hipervnculovisitado">
    <w:name w:val="FollowedHyperlink"/>
    <w:basedOn w:val="Fuentedeprrafopredeter"/>
    <w:uiPriority w:val="99"/>
    <w:semiHidden/>
    <w:unhideWhenUsed/>
    <w:rsid w:val="00615D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91481">
      <w:bodyDiv w:val="1"/>
      <w:marLeft w:val="0"/>
      <w:marRight w:val="0"/>
      <w:marTop w:val="0"/>
      <w:marBottom w:val="0"/>
      <w:divBdr>
        <w:top w:val="none" w:sz="0" w:space="0" w:color="auto"/>
        <w:left w:val="none" w:sz="0" w:space="0" w:color="auto"/>
        <w:bottom w:val="none" w:sz="0" w:space="0" w:color="auto"/>
        <w:right w:val="none" w:sz="0" w:space="0" w:color="auto"/>
      </w:divBdr>
      <w:divsChild>
        <w:div w:id="769198558">
          <w:marLeft w:val="0"/>
          <w:marRight w:val="0"/>
          <w:marTop w:val="0"/>
          <w:marBottom w:val="0"/>
          <w:divBdr>
            <w:top w:val="none" w:sz="0" w:space="0" w:color="auto"/>
            <w:left w:val="none" w:sz="0" w:space="0" w:color="auto"/>
            <w:bottom w:val="none" w:sz="0" w:space="0" w:color="auto"/>
            <w:right w:val="none" w:sz="0" w:space="0" w:color="auto"/>
          </w:divBdr>
          <w:divsChild>
            <w:div w:id="2115054649">
              <w:marLeft w:val="0"/>
              <w:marRight w:val="0"/>
              <w:marTop w:val="0"/>
              <w:marBottom w:val="0"/>
              <w:divBdr>
                <w:top w:val="none" w:sz="0" w:space="0" w:color="auto"/>
                <w:left w:val="none" w:sz="0" w:space="0" w:color="auto"/>
                <w:bottom w:val="none" w:sz="0" w:space="0" w:color="auto"/>
                <w:right w:val="none" w:sz="0" w:space="0" w:color="auto"/>
              </w:divBdr>
              <w:divsChild>
                <w:div w:id="578635387">
                  <w:marLeft w:val="0"/>
                  <w:marRight w:val="0"/>
                  <w:marTop w:val="0"/>
                  <w:marBottom w:val="0"/>
                  <w:divBdr>
                    <w:top w:val="none" w:sz="0" w:space="0" w:color="auto"/>
                    <w:left w:val="none" w:sz="0" w:space="0" w:color="auto"/>
                    <w:bottom w:val="none" w:sz="0" w:space="0" w:color="auto"/>
                    <w:right w:val="none" w:sz="0" w:space="0" w:color="auto"/>
                  </w:divBdr>
                  <w:divsChild>
                    <w:div w:id="7182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14944">
      <w:bodyDiv w:val="1"/>
      <w:marLeft w:val="0"/>
      <w:marRight w:val="0"/>
      <w:marTop w:val="0"/>
      <w:marBottom w:val="0"/>
      <w:divBdr>
        <w:top w:val="none" w:sz="0" w:space="0" w:color="auto"/>
        <w:left w:val="none" w:sz="0" w:space="0" w:color="auto"/>
        <w:bottom w:val="none" w:sz="0" w:space="0" w:color="auto"/>
        <w:right w:val="none" w:sz="0" w:space="0" w:color="auto"/>
      </w:divBdr>
    </w:div>
    <w:div w:id="813719669">
      <w:bodyDiv w:val="1"/>
      <w:marLeft w:val="0"/>
      <w:marRight w:val="0"/>
      <w:marTop w:val="0"/>
      <w:marBottom w:val="0"/>
      <w:divBdr>
        <w:top w:val="none" w:sz="0" w:space="0" w:color="auto"/>
        <w:left w:val="none" w:sz="0" w:space="0" w:color="auto"/>
        <w:bottom w:val="none" w:sz="0" w:space="0" w:color="auto"/>
        <w:right w:val="none" w:sz="0" w:space="0" w:color="auto"/>
      </w:divBdr>
    </w:div>
    <w:div w:id="1144157787">
      <w:bodyDiv w:val="1"/>
      <w:marLeft w:val="0"/>
      <w:marRight w:val="0"/>
      <w:marTop w:val="0"/>
      <w:marBottom w:val="0"/>
      <w:divBdr>
        <w:top w:val="none" w:sz="0" w:space="0" w:color="auto"/>
        <w:left w:val="none" w:sz="0" w:space="0" w:color="auto"/>
        <w:bottom w:val="none" w:sz="0" w:space="0" w:color="auto"/>
        <w:right w:val="none" w:sz="0" w:space="0" w:color="auto"/>
      </w:divBdr>
    </w:div>
    <w:div w:id="1680083684">
      <w:bodyDiv w:val="1"/>
      <w:marLeft w:val="0"/>
      <w:marRight w:val="0"/>
      <w:marTop w:val="0"/>
      <w:marBottom w:val="0"/>
      <w:divBdr>
        <w:top w:val="none" w:sz="0" w:space="0" w:color="auto"/>
        <w:left w:val="none" w:sz="0" w:space="0" w:color="auto"/>
        <w:bottom w:val="none" w:sz="0" w:space="0" w:color="auto"/>
        <w:right w:val="none" w:sz="0" w:space="0" w:color="auto"/>
      </w:divBdr>
    </w:div>
    <w:div w:id="210233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image" Target="media/image8.jpeg"/><Relationship Id="rId39" Type="http://schemas.openxmlformats.org/officeDocument/2006/relationships/header" Target="header2.xml"/><Relationship Id="rId21" Type="http://schemas.openxmlformats.org/officeDocument/2006/relationships/hyperlink" Target="https://orcid.org/0000-0001-6442-4409" TargetMode="External"/><Relationship Id="rId34" Type="http://schemas.openxmlformats.org/officeDocument/2006/relationships/hyperlink" Target="https://www.unesco.org/es/articles/la-tecnologia-digital-es-un-instrumento-clave-para-mejorar-la-alfabetizacion-de-las-ninas-y-las?hub=40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rivate.com/products/scientific-and-academic-research/research-discovery-and-workflow-solutions/researcher-profiles/" TargetMode="External"/><Relationship Id="rId24" Type="http://schemas.openxmlformats.org/officeDocument/2006/relationships/hyperlink" Target="https://marvid.org/research_areas.php" TargetMode="External"/><Relationship Id="rId32" Type="http://schemas.openxmlformats.org/officeDocument/2006/relationships/image" Target="media/image12.png"/><Relationship Id="rId37" Type="http://schemas.openxmlformats.org/officeDocument/2006/relationships/hyperlink" Target="http://www.ecorfan.org/pdf/Authorization%20Form-Formato%20de%20Autorizacion_2.pd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iic.conacyt.mx/generador-view-angular/index.html?application=CVU" TargetMode="External"/><Relationship Id="rId23" Type="http://schemas.openxmlformats.org/officeDocument/2006/relationships/header" Target="header1.xml"/><Relationship Id="rId28" Type="http://schemas.openxmlformats.org/officeDocument/2006/relationships/image" Target="media/image10.png"/><Relationship Id="rId36" Type="http://schemas.openxmlformats.org/officeDocument/2006/relationships/hyperlink" Target="http://www.ecorfan.org/pdf/Originality%20Format-Formato%20de%20Originalidad_2.pdf" TargetMode="External"/><Relationship Id="rId10" Type="http://schemas.openxmlformats.org/officeDocument/2006/relationships/image" Target="media/image2.png"/><Relationship Id="rId19" Type="http://schemas.openxmlformats.org/officeDocument/2006/relationships/hyperlink" Target="https://www.webofscience.com/wos/author/record/1125517" TargetMode="External"/><Relationship Id="rId31" Type="http://schemas.openxmlformats.org/officeDocument/2006/relationships/hyperlink" Target="https://www.marvid.org/" TargetMode="External"/><Relationship Id="rId4" Type="http://schemas.openxmlformats.org/officeDocument/2006/relationships/settings" Target="settings.xml"/><Relationship Id="rId9" Type="http://schemas.openxmlformats.org/officeDocument/2006/relationships/hyperlink" Target="https://ror.org/registry/" TargetMode="External"/><Relationship Id="rId14" Type="http://schemas.openxmlformats.org/officeDocument/2006/relationships/hyperlink" Target="https://orcid.org/register"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creativecommons.org/licenses/by-nc-nd/4.0/" TargetMode="External"/><Relationship Id="rId35" Type="http://schemas.openxmlformats.org/officeDocument/2006/relationships/hyperlink" Target="https://doi.org/10.1201/9780429332838"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ror.org/01p93h210" TargetMode="External"/><Relationship Id="rId25" Type="http://schemas.openxmlformats.org/officeDocument/2006/relationships/hyperlink" Target="https://doi.org/" TargetMode="External"/><Relationship Id="rId33" Type="http://schemas.openxmlformats.org/officeDocument/2006/relationships/image" Target="media/image13.png"/><Relationship Id="rId38" Type="http://schemas.openxmlformats.org/officeDocument/2006/relationships/hyperlink" Target="https://www.ecorfan.org/servicios/Formato%20de%20Conflicto%20de%20intereses,%20Cesi%C3%B3n%20de%20derechos%20y%20distribuci%C3%B3n_I.pdf" TargetMode="External"/><Relationship Id="rId43" Type="http://schemas.openxmlformats.org/officeDocument/2006/relationships/header" Target="header3.xml"/><Relationship Id="rId44" Type="http://schemas.openxmlformats.org/officeDocument/2006/relationships/header" Target="header4.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image" Target="media/image14.png"/><Relationship Id="rId48" Type="http://schemas.openxmlformats.org/officeDocument/2006/relationships/header" Target="header5.xml"/><Relationship Id="rId49" Type="http://schemas.openxmlformats.org/officeDocument/2006/relationships/header" Target="header6.xml"/><Relationship Id="rId50" Type="http://schemas.openxmlformats.org/officeDocument/2006/relationships/header" Target="header7.xml"/><Relationship Id="rId51" Type="http://schemas.openxmlformats.org/officeDocument/2006/relationships/footer" Target="footer4.xml"/><Relationship Id="rId52" Type="http://schemas.openxmlformats.org/officeDocument/2006/relationships/footer" Target="footer5.xml"/><Relationship Id="rId53" Type="http://schemas.openxmlformats.org/officeDocument/2006/relationships/footer" Target="footer6.xml"/><Relationship Id="rId54" Type="http://schemas.openxmlformats.org/officeDocument/2006/relationships/image" Target="media/image15.png"/><Relationship Id="rId55" Type="http://schemas.openxmlformats.org/officeDocument/2006/relationships/image" Target="media/image16.png"/><Relationship Id="rId56" Type="http://schemas.openxmlformats.org/officeDocument/2006/relationships/image" Target="media/image17.png"/><Relationship Id="rId57" Type="http://schemas.openxmlformats.org/officeDocument/2006/relationships/image" Target="media/image18.png"/></Relationships>
</file>

<file path=word/_rels/footer1.xml.rels><?xml version='1.0' encoding='UTF-8' standalone='yes'?>
<Relationships xmlns="http://schemas.openxmlformats.org/package/2006/relationships"><Relationship Id="rId2" Type="http://schemas.openxmlformats.org/officeDocument/2006/relationships/hyperlink" Target="https://doi.org/10.35429/" TargetMode="External"/><Relationship Id="rId1" Type="http://schemas.openxmlformats.org/officeDocument/2006/relationships/hyperlink" Target="https://doi.org/10.354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E40E05-DA60-447C-B9EC-2E330C06A693}">
  <we:reference id="wa104380121" version="2.0.0.0" store="es-E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078CA-16CA-4C6D-BE63-6620F7B11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TotalTime>
  <Pages>3</Pages>
  <Words>1377</Words>
  <Characters>7578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ECORFAN-MEXICO,S.C</dc:creator>
  <cp:keywords/>
  <dc:description/>
  <cp:lastModifiedBy>Microsoft Office User</cp:lastModifiedBy>
  <cp:revision>51</cp:revision>
  <cp:lastPrinted>2024-02-16T19:21:00Z</cp:lastPrinted>
  <dcterms:created xsi:type="dcterms:W3CDTF">2017-08-15T22:05:00Z</dcterms:created>
  <dcterms:modified xsi:type="dcterms:W3CDTF">2025-04-08T03:50:00Z</dcterms:modified>
</cp:coreProperties>
</file>