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rFonts w:ascii="sans-serif" w:hAnsi="sans-serif"/>
          <w:b/>
        </w:rPr>
        <w:t>UNIVERSIDAD POLITÉCNICA DE QUERÉTARO</w:t>
      </w:r>
      <w:r>
        <w:rPr/>
        <w:br/>
      </w:r>
      <w:r>
        <w:rPr>
          <w:rFonts w:ascii="sans-serif" w:hAnsi="sans-serif"/>
        </w:rPr>
        <w:t>Ingeniería en Sistemas Computacionales</w:t>
      </w:r>
      <w:r>
        <w:rPr/>
        <w:br/>
      </w:r>
      <w:r>
        <w:rPr>
          <w:rFonts w:ascii="sans-serif" w:hAnsi="sans-serif"/>
        </w:rPr>
        <w:t>Programación Móvil</w:t>
      </w:r>
      <w:r>
        <w:rPr/>
        <w:br/>
        <w:br/>
      </w:r>
      <w:r>
        <w:rPr/>
        <w:drawing>
          <wp:inline distT="0" distB="0" distL="0" distR="0">
            <wp:extent cx="838200" cy="838200"/>
            <wp:effectExtent l="0" t="0" r="0" b="0"/>
            <wp:docPr id="1" name="Image1" descr="" title="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PIC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>
          <w:rFonts w:ascii="sans-serif" w:hAnsi="sans-serif"/>
          <w:b/>
        </w:rPr>
        <w:t>PREDIA</w:t>
      </w:r>
      <w:r>
        <w:rPr/>
        <w:br/>
      </w:r>
      <w:r>
        <w:rPr>
          <w:rFonts w:ascii="sans-serif" w:hAnsi="sans-serif"/>
        </w:rPr>
        <w:t>Plataforma Clínica Inteligente para la Detección Temprana de Diabetes</w:t>
      </w:r>
      <w:r>
        <w:rPr/>
        <w:br/>
        <w:br/>
        <w:t>________________________________________________________________________</w:t>
        <w:br/>
        <w:br/>
      </w:r>
      <w:r>
        <w:rPr>
          <w:rFonts w:ascii="sans-serif" w:hAnsi="sans-serif"/>
          <w:b/>
        </w:rPr>
        <w:t>REPORTE DE PROYECTO INTEGRADOR</w:t>
      </w:r>
      <w:r>
        <w:rPr/>
        <w:br/>
      </w:r>
      <w:r>
        <w:rPr>
          <w:rFonts w:ascii="sans-serif" w:hAnsi="sans-serif"/>
        </w:rPr>
        <w:t>Integración móvil para autogestión del paciente y atención clínica en movilidad</w:t>
      </w:r>
      <w:r>
        <w:rPr/>
        <w:br/>
        <w:br/>
        <w:t>________________________________________________________________________</w:t>
        <w:br/>
        <w:br/>
      </w:r>
      <w:r>
        <w:rPr>
          <w:rFonts w:ascii="sans-serif" w:hAnsi="sans-serif"/>
          <w:b/>
        </w:rPr>
        <w:t>PRESENTAN</w:t>
      </w:r>
      <w:r>
        <w:rPr/>
        <w:br/>
        <w:t>Arianna Valentina Giannoccaro Quiñonez</w:t>
        <w:br/>
        <w:t>Álvarez Sánchez Guillermo</w:t>
        <w:br/>
        <w:t>Muñoz Prado Cristopher Yanhyu</w:t>
        <w:br/>
        <w:t>Villafuerte Armenta Gabriel Iván</w:t>
        <w:br/>
        <w:br/>
      </w:r>
      <w:r>
        <w:rPr>
          <w:rFonts w:ascii="sans-serif" w:hAnsi="sans-serif"/>
          <w:b/>
        </w:rPr>
        <w:t>DOCENTE</w:t>
      </w:r>
      <w:r>
        <w:rPr/>
        <w:br/>
        <w:t>Iván Isay Guerra López</w:t>
        <w:br/>
        <w:br/>
      </w:r>
      <w:r>
        <w:rPr>
          <w:rFonts w:ascii="sans-serif" w:hAnsi="sans-serif"/>
          <w:b/>
        </w:rPr>
        <w:t>ASESORES UPQ</w:t>
      </w:r>
      <w:r>
        <w:rPr/>
        <w:br/>
        <w:t xml:space="preserve">José Javier Moya Moya | Jairo Pacindo Piña 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ascii="sans-serif" w:hAnsi="sans-serif"/>
        </w:rPr>
        <w:t>El Marqués, Querétaro Junio de 2026</w:t>
      </w:r>
    </w:p>
    <w:p>
      <w:r>
        <w:br w:type="page"/>
      </w:r>
    </w:p>
    <w:p>
      <w:pPr>
        <w:pStyle w:val="Heading2"/>
        <w:bidi w:val="0"/>
        <w:ind w:hanging="0" w:start="0" w:end="0"/>
        <w:jc w:val="start"/>
        <w:rPr/>
      </w:pPr>
      <w:bookmarkStart w:id="0" w:name="x1-1000"/>
      <w:bookmarkEnd w:id="0"/>
      <w:r>
        <w:rPr/>
        <w:t>Resumen</w:t>
      </w:r>
    </w:p>
    <w:p>
      <w:pPr>
        <w:pStyle w:val="BodyText"/>
        <w:bidi w:val="0"/>
        <w:ind w:hanging="0" w:start="0" w:end="0"/>
        <w:jc w:val="start"/>
        <w:rPr/>
      </w:pPr>
      <w:bookmarkStart w:id="1" w:name="Q1-1-2"/>
      <w:bookmarkEnd w:id="1"/>
      <w:r>
        <w:rPr/>
        <w:t xml:space="preserve">El presente reporte documenta la ampliación móvil de PREDIA, una plataforma clínica orientada a la gestión de expedientes y al apoyo para la detección temprana del riesgo de diabetes tipo 2. La solución web existente centraliza información de pacientes, consultas, signos vitales, recetas y predicciones de Inteligencia Artificial; sin embargo, su contexto principal de uso corresponde al escritorio y a sesiones clínicas prolongadas. La nueva integración móvil atiende necesidades diferentes: permitir al paciente consultar y registrar información de salud desde casa, y facilitar al médico la consulta y captura de datos durante rondas o atención al pie de cama. </w:t>
      </w:r>
    </w:p>
    <w:p>
      <w:pPr>
        <w:pStyle w:val="BodyTextindent"/>
        <w:bidi w:val="0"/>
        <w:jc w:val="start"/>
        <w:rPr/>
      </w:pPr>
      <w:r>
        <w:rPr/>
        <w:t xml:space="preserve">La propuesta contempla dos roles diferenciados. El portal del paciente integra acceso a su resumen de salud, expediente en modo de lectura, citas, recetas, resultados de riesgo, automonitoreo y tendencias. La experiencia del médico prioriza agenda diaria, búsqueda rápida de pacientes, resumen clínico, alertas, registro de signos vitales, dictado de notas, captura de imágenes, validación de predicciones y firma de recetas. La aplicación se desarrolla con React Native y Expo, reutiliza la API de la plataforma web y mantiene autenticación, persistencia y control de acceso acordes con la naturaleza sensible de la información clínica. </w:t>
      </w:r>
    </w:p>
    <w:p>
      <w:pPr>
        <w:pStyle w:val="BodyTextindent"/>
        <w:bidi w:val="0"/>
        <w:jc w:val="start"/>
        <w:rPr/>
      </w:pPr>
      <w:r>
        <w:rPr/>
        <w:t xml:space="preserve">Las dos primeras etapas abarcan el análisis de la brecha entre web y móvil, la definición de requisitos funcionales y no funcionales, el diseño de arquitectura e interfaces, y la construcción de un prototipo funcional conectado al backend de PREDIA. El resultado es una base móvil complementaria a la plataforma web, orientada a reducir tiempos de consulta, mejorar el seguimiento del paciente y acercar la información clínica al momento en que se requiere tomar una decisión. </w:t>
      </w:r>
    </w:p>
    <w:p>
      <w:pPr>
        <w:pStyle w:val="BodyText"/>
        <w:bidi w:val="0"/>
        <w:ind w:hanging="0" w:start="0" w:end="0"/>
        <w:jc w:val="start"/>
        <w:rPr/>
      </w:pPr>
      <w:r>
        <w:rPr>
          <w:b/>
        </w:rPr>
        <w:t xml:space="preserve">Palabras clave: </w:t>
      </w:r>
      <w:r>
        <w:rPr/>
        <w:t xml:space="preserve">salud móvil, expediente clínico, React Native, atención clínica, automonitoreo, diabetes, Inteligencia Artificial. </w:t>
      </w:r>
    </w:p>
    <w:p>
      <w:pPr>
        <w:pStyle w:val="Heading2"/>
        <w:bidi w:val="0"/>
        <w:ind w:hanging="0" w:start="0" w:end="0"/>
        <w:jc w:val="start"/>
        <w:rPr/>
      </w:pPr>
      <w:bookmarkStart w:id="2" w:name="x1-2000"/>
      <w:bookmarkEnd w:id="2"/>
      <w:r>
        <w:rPr/>
        <w:t>Índice</w:t>
      </w:r>
    </w:p>
    <w:p>
      <w:pPr>
        <w:pStyle w:val="BodyText"/>
        <w:bidi w:val="0"/>
        <w:spacing w:lineRule="auto" w:line="480"/>
        <w:ind w:hanging="0" w:start="0" w:end="0"/>
        <w:jc w:val="start"/>
        <w:rPr/>
      </w:pPr>
      <w:hyperlink w:anchor="Q1-1-2">
        <w:r>
          <w:rPr>
            <w:rStyle w:val="Hyperlink"/>
            <w:b/>
          </w:rPr>
          <w:t>Resumen</w:t>
        </w:r>
      </w:hyperlink>
      <w:r>
        <w:rPr/>
        <w:t xml:space="preserve"> </w:t>
        <w:br/>
      </w:r>
      <w:r>
        <w:rPr>
          <w:b/>
        </w:rPr>
        <w:t xml:space="preserve">1 </w:t>
      </w:r>
      <w:hyperlink w:anchor="x1-30001">
        <w:bookmarkStart w:id="3" w:name="QQ2-1-4"/>
        <w:bookmarkEnd w:id="3"/>
        <w:r>
          <w:rPr>
            <w:rStyle w:val="Hyperlink"/>
            <w:b/>
          </w:rPr>
          <w:t>Antecedentes</w:t>
        </w:r>
      </w:hyperlink>
      <w:r>
        <w:rPr/>
        <w:t xml:space="preserve"> </w:t>
        <w:br/>
        <w:t xml:space="preserve">1.1 </w:t>
      </w:r>
      <w:hyperlink w:anchor="x1-40001.1">
        <w:bookmarkStart w:id="4" w:name="QQ2-1-5"/>
        <w:bookmarkEnd w:id="4"/>
        <w:r>
          <w:rPr>
            <w:rStyle w:val="Hyperlink"/>
          </w:rPr>
          <w:t>Tema del proyecto</w:t>
        </w:r>
      </w:hyperlink>
      <w:r>
        <w:rPr/>
        <w:t xml:space="preserve"> </w:t>
        <w:br/>
        <w:t xml:space="preserve">1.2 </w:t>
      </w:r>
      <w:hyperlink w:anchor="x1-50001.2">
        <w:bookmarkStart w:id="5" w:name="QQ2-1-7"/>
        <w:bookmarkEnd w:id="5"/>
        <w:r>
          <w:rPr>
            <w:rStyle w:val="Hyperlink"/>
          </w:rPr>
          <w:t>Contexto clínico y tecnológico</w:t>
        </w:r>
      </w:hyperlink>
      <w:r>
        <w:rPr/>
        <w:t xml:space="preserve"> </w:t>
        <w:br/>
        <w:t xml:space="preserve">1.3 </w:t>
      </w:r>
      <w:hyperlink w:anchor="x1-60001.3">
        <w:bookmarkStart w:id="6" w:name="QQ2-1-8"/>
        <w:bookmarkEnd w:id="6"/>
        <w:r>
          <w:rPr>
            <w:rStyle w:val="Hyperlink"/>
          </w:rPr>
          <w:t>Situación previa de PREDIA</w:t>
        </w:r>
      </w:hyperlink>
      <w:r>
        <w:rPr/>
        <w:t xml:space="preserve"> </w:t>
        <w:br/>
        <w:t xml:space="preserve">1.4 </w:t>
      </w:r>
      <w:hyperlink w:anchor="x1-70001.4">
        <w:bookmarkStart w:id="7" w:name="QQ2-1-9"/>
        <w:bookmarkEnd w:id="7"/>
        <w:r>
          <w:rPr>
            <w:rStyle w:val="Hyperlink"/>
          </w:rPr>
          <w:t>Antecedente de requisitos móviles</w:t>
        </w:r>
      </w:hyperlink>
      <w:r>
        <w:rPr/>
        <w:t xml:space="preserve"> </w:t>
        <w:br/>
      </w:r>
      <w:r>
        <w:rPr>
          <w:b/>
        </w:rPr>
        <w:t xml:space="preserve">2 </w:t>
      </w:r>
      <w:hyperlink w:anchor="x1-80002">
        <w:bookmarkStart w:id="8" w:name="QQ2-1-10"/>
        <w:bookmarkEnd w:id="8"/>
        <w:r>
          <w:rPr>
            <w:rStyle w:val="Hyperlink"/>
            <w:b/>
          </w:rPr>
          <w:t>Definición del proyecto</w:t>
        </w:r>
      </w:hyperlink>
      <w:r>
        <w:rPr/>
        <w:t xml:space="preserve"> </w:t>
        <w:br/>
        <w:t xml:space="preserve">2.1 </w:t>
      </w:r>
      <w:hyperlink w:anchor="x1-90002.1">
        <w:bookmarkStart w:id="9" w:name="QQ2-1-11"/>
        <w:bookmarkEnd w:id="9"/>
        <w:r>
          <w:rPr>
            <w:rStyle w:val="Hyperlink"/>
          </w:rPr>
          <w:t>Planteamiento del problema</w:t>
        </w:r>
      </w:hyperlink>
      <w:r>
        <w:rPr/>
        <w:t xml:space="preserve"> </w:t>
        <w:br/>
        <w:t xml:space="preserve">2.2 </w:t>
      </w:r>
      <w:hyperlink w:anchor="x1-100002.2">
        <w:bookmarkStart w:id="10" w:name="QQ2-1-12"/>
        <w:bookmarkEnd w:id="10"/>
        <w:r>
          <w:rPr>
            <w:rStyle w:val="Hyperlink"/>
          </w:rPr>
          <w:t>Justificación</w:t>
        </w:r>
      </w:hyperlink>
      <w:r>
        <w:rPr/>
        <w:t xml:space="preserve"> </w:t>
        <w:br/>
        <w:t xml:space="preserve">2.2.1 </w:t>
      </w:r>
      <w:hyperlink w:anchor="x1-110002.2.1">
        <w:bookmarkStart w:id="11" w:name="QQ2-1-13"/>
        <w:bookmarkEnd w:id="11"/>
        <w:r>
          <w:rPr>
            <w:rStyle w:val="Hyperlink"/>
          </w:rPr>
          <w:t>Valor para el paciente</w:t>
        </w:r>
      </w:hyperlink>
      <w:r>
        <w:rPr/>
        <w:t xml:space="preserve"> </w:t>
        <w:br/>
        <w:t xml:space="preserve">2.2.2 </w:t>
      </w:r>
      <w:hyperlink w:anchor="x1-120002.2.2">
        <w:bookmarkStart w:id="12" w:name="QQ2-1-14"/>
        <w:bookmarkEnd w:id="12"/>
        <w:r>
          <w:rPr>
            <w:rStyle w:val="Hyperlink"/>
          </w:rPr>
          <w:t>Valor para el personal médico</w:t>
        </w:r>
      </w:hyperlink>
      <w:r>
        <w:rPr/>
        <w:t xml:space="preserve"> </w:t>
        <w:br/>
        <w:t xml:space="preserve">2.2.3 </w:t>
      </w:r>
      <w:hyperlink w:anchor="x1-130002.2.3">
        <w:bookmarkStart w:id="13" w:name="QQ2-1-15"/>
        <w:bookmarkEnd w:id="13"/>
        <w:r>
          <w:rPr>
            <w:rStyle w:val="Hyperlink"/>
          </w:rPr>
          <w:t>Aprovechamiento de capacidades nativas</w:t>
        </w:r>
      </w:hyperlink>
      <w:r>
        <w:rPr/>
        <w:t xml:space="preserve"> </w:t>
        <w:br/>
        <w:t xml:space="preserve">2.2.4 </w:t>
      </w:r>
      <w:hyperlink w:anchor="x1-140002.2.4">
        <w:bookmarkStart w:id="14" w:name="QQ2-1-16"/>
        <w:bookmarkEnd w:id="14"/>
        <w:r>
          <w:rPr>
            <w:rStyle w:val="Hyperlink"/>
          </w:rPr>
          <w:t>Reutilización de la inversión tecnológica</w:t>
        </w:r>
      </w:hyperlink>
      <w:r>
        <w:rPr/>
        <w:t xml:space="preserve"> </w:t>
        <w:br/>
        <w:t xml:space="preserve">2.2.5 </w:t>
      </w:r>
      <w:hyperlink w:anchor="x1-150002.2.5">
        <w:bookmarkStart w:id="15" w:name="QQ2-1-17"/>
        <w:bookmarkEnd w:id="15"/>
        <w:r>
          <w:rPr>
            <w:rStyle w:val="Hyperlink"/>
          </w:rPr>
          <w:t>Continuidad clínica y prevención</w:t>
        </w:r>
      </w:hyperlink>
      <w:r>
        <w:rPr/>
        <w:t xml:space="preserve"> </w:t>
        <w:br/>
        <w:t xml:space="preserve">2.3 </w:t>
      </w:r>
      <w:hyperlink w:anchor="x1-160002.3">
        <w:bookmarkStart w:id="16" w:name="QQ2-1-18"/>
        <w:bookmarkEnd w:id="16"/>
        <w:r>
          <w:rPr>
            <w:rStyle w:val="Hyperlink"/>
          </w:rPr>
          <w:t>Alcances y restricciones</w:t>
        </w:r>
      </w:hyperlink>
      <w:r>
        <w:rPr/>
        <w:t xml:space="preserve"> </w:t>
        <w:br/>
        <w:t xml:space="preserve">2.3.1 </w:t>
      </w:r>
      <w:hyperlink w:anchor="x1-170002.3.1">
        <w:bookmarkStart w:id="17" w:name="QQ2-1-19"/>
        <w:bookmarkEnd w:id="17"/>
        <w:r>
          <w:rPr>
            <w:rStyle w:val="Hyperlink"/>
          </w:rPr>
          <w:t>Alcances</w:t>
        </w:r>
      </w:hyperlink>
      <w:r>
        <w:rPr/>
        <w:t xml:space="preserve"> </w:t>
        <w:br/>
        <w:t xml:space="preserve">2.3.2 </w:t>
      </w:r>
      <w:hyperlink w:anchor="x1-180002.3.2">
        <w:bookmarkStart w:id="18" w:name="QQ2-1-20"/>
        <w:bookmarkEnd w:id="18"/>
        <w:r>
          <w:rPr>
            <w:rStyle w:val="Hyperlink"/>
          </w:rPr>
          <w:t>Restricciones</w:t>
        </w:r>
      </w:hyperlink>
      <w:r>
        <w:rPr/>
        <w:t xml:space="preserve"> </w:t>
        <w:br/>
        <w:t xml:space="preserve">2.4 </w:t>
      </w:r>
      <w:hyperlink w:anchor="x1-190002.4">
        <w:bookmarkStart w:id="19" w:name="QQ2-1-21"/>
        <w:bookmarkEnd w:id="19"/>
        <w:r>
          <w:rPr>
            <w:rStyle w:val="Hyperlink"/>
          </w:rPr>
          <w:t>Objetivo general</w:t>
        </w:r>
      </w:hyperlink>
      <w:r>
        <w:rPr/>
        <w:t xml:space="preserve"> </w:t>
        <w:br/>
        <w:t xml:space="preserve">2.5 </w:t>
      </w:r>
      <w:hyperlink w:anchor="x1-200002.5">
        <w:bookmarkStart w:id="20" w:name="QQ2-1-22"/>
        <w:bookmarkEnd w:id="20"/>
        <w:r>
          <w:rPr>
            <w:rStyle w:val="Hyperlink"/>
          </w:rPr>
          <w:t>Objetivos específicos</w:t>
        </w:r>
      </w:hyperlink>
      <w:r>
        <w:rPr/>
        <w:t xml:space="preserve"> </w:t>
        <w:br/>
      </w:r>
      <w:r>
        <w:rPr>
          <w:b/>
        </w:rPr>
        <w:t xml:space="preserve">3 </w:t>
      </w:r>
      <w:hyperlink w:anchor="x1-210003">
        <w:bookmarkStart w:id="21" w:name="QQ2-1-23"/>
        <w:bookmarkEnd w:id="21"/>
        <w:r>
          <w:rPr>
            <w:rStyle w:val="Hyperlink"/>
            <w:b/>
          </w:rPr>
          <w:t>Desarrollo de las etapas</w:t>
        </w:r>
      </w:hyperlink>
      <w:r>
        <w:rPr/>
        <w:t xml:space="preserve"> </w:t>
        <w:br/>
        <w:t xml:space="preserve">3.1 </w:t>
      </w:r>
      <w:hyperlink w:anchor="x1-220003.1">
        <w:bookmarkStart w:id="22" w:name="QQ2-1-24"/>
        <w:bookmarkEnd w:id="22"/>
        <w:r>
          <w:rPr>
            <w:rStyle w:val="Hyperlink"/>
          </w:rPr>
          <w:t>Primera etapa del proyecto</w:t>
        </w:r>
      </w:hyperlink>
      <w:r>
        <w:rPr/>
        <w:t xml:space="preserve"> </w:t>
        <w:br/>
        <w:t xml:space="preserve">3.1.1 </w:t>
      </w:r>
      <w:hyperlink w:anchor="x1-230003.1.1">
        <w:bookmarkStart w:id="23" w:name="QQ2-1-25"/>
        <w:bookmarkEnd w:id="23"/>
        <w:r>
          <w:rPr>
            <w:rStyle w:val="Hyperlink"/>
          </w:rPr>
          <w:t>Análisis de la solución existente</w:t>
        </w:r>
      </w:hyperlink>
      <w:r>
        <w:rPr/>
        <w:t xml:space="preserve"> </w:t>
        <w:br/>
        <w:t xml:space="preserve">3.1.2 </w:t>
      </w:r>
      <w:hyperlink w:anchor="x1-240003.1.2">
        <w:bookmarkStart w:id="24" w:name="QQ2-1-26"/>
        <w:bookmarkEnd w:id="24"/>
        <w:r>
          <w:rPr>
            <w:rStyle w:val="Hyperlink"/>
          </w:rPr>
          <w:t>Definición de roles y requisitos</w:t>
        </w:r>
      </w:hyperlink>
      <w:r>
        <w:rPr/>
        <w:t xml:space="preserve"> </w:t>
        <w:br/>
        <w:t xml:space="preserve">3.1.3 </w:t>
      </w:r>
      <w:hyperlink w:anchor="x1-250003.1.3">
        <w:bookmarkStart w:id="25" w:name="QQ2-1-28"/>
        <w:bookmarkEnd w:id="25"/>
        <w:r>
          <w:rPr>
            <w:rStyle w:val="Hyperlink"/>
          </w:rPr>
          <w:t>Arquitectura tecnológica</w:t>
        </w:r>
      </w:hyperlink>
      <w:r>
        <w:rPr/>
        <w:t xml:space="preserve"> </w:t>
        <w:br/>
        <w:t xml:space="preserve">3.1.4 </w:t>
      </w:r>
      <w:hyperlink w:anchor="x1-260003.1.4">
        <w:bookmarkStart w:id="26" w:name="QQ2-1-29"/>
        <w:bookmarkEnd w:id="26"/>
        <w:r>
          <w:rPr>
            <w:rStyle w:val="Hyperlink"/>
          </w:rPr>
          <w:t>Diseño de interfaces y navegación</w:t>
        </w:r>
      </w:hyperlink>
      <w:r>
        <w:rPr/>
        <w:t xml:space="preserve"> </w:t>
        <w:br/>
        <w:t xml:space="preserve">3.1.5 </w:t>
      </w:r>
      <w:hyperlink w:anchor="x1-270003.1.5">
        <w:bookmarkStart w:id="27" w:name="QQ2-1-30"/>
        <w:bookmarkEnd w:id="27"/>
        <w:r>
          <w:rPr>
            <w:rStyle w:val="Hyperlink"/>
          </w:rPr>
          <w:t>Entregables de la primera etapa</w:t>
        </w:r>
      </w:hyperlink>
      <w:r>
        <w:rPr/>
        <w:t xml:space="preserve"> </w:t>
        <w:br/>
        <w:t xml:space="preserve">3.2 </w:t>
      </w:r>
      <w:hyperlink w:anchor="x1-280003.2">
        <w:bookmarkStart w:id="28" w:name="QQ2-1-31"/>
        <w:bookmarkEnd w:id="28"/>
        <w:r>
          <w:rPr>
            <w:rStyle w:val="Hyperlink"/>
          </w:rPr>
          <w:t>Segunda etapa del proyecto</w:t>
        </w:r>
      </w:hyperlink>
      <w:r>
        <w:rPr/>
        <w:t xml:space="preserve"> </w:t>
        <w:br/>
        <w:t xml:space="preserve">3.2.1 </w:t>
      </w:r>
      <w:hyperlink w:anchor="x1-290003.2.1">
        <w:bookmarkStart w:id="29" w:name="QQ2-1-32"/>
        <w:bookmarkEnd w:id="29"/>
        <w:r>
          <w:rPr>
            <w:rStyle w:val="Hyperlink"/>
          </w:rPr>
          <w:t>Construcción del proyecto móvil</w:t>
        </w:r>
      </w:hyperlink>
      <w:r>
        <w:rPr/>
        <w:t xml:space="preserve"> </w:t>
        <w:br/>
        <w:t xml:space="preserve">3.2.2 </w:t>
      </w:r>
      <w:hyperlink w:anchor="x1-300003.2.2">
        <w:bookmarkStart w:id="30" w:name="QQ2-1-33"/>
        <w:bookmarkEnd w:id="30"/>
        <w:r>
          <w:rPr>
            <w:rStyle w:val="Hyperlink"/>
          </w:rPr>
          <w:t>Integración de autenticación</w:t>
        </w:r>
      </w:hyperlink>
      <w:r>
        <w:rPr/>
        <w:t xml:space="preserve"> </w:t>
        <w:br/>
        <w:t xml:space="preserve">3.2.3 </w:t>
      </w:r>
      <w:hyperlink w:anchor="x1-310003.2.3">
        <w:bookmarkStart w:id="31" w:name="QQ2-1-34"/>
        <w:bookmarkEnd w:id="31"/>
        <w:r>
          <w:rPr>
            <w:rStyle w:val="Hyperlink"/>
          </w:rPr>
          <w:t>Flujo del médico</w:t>
        </w:r>
      </w:hyperlink>
      <w:r>
        <w:rPr/>
        <w:t xml:space="preserve"> </w:t>
        <w:br/>
        <w:t xml:space="preserve">3.2.4 </w:t>
      </w:r>
      <w:hyperlink w:anchor="x1-320003.2.4">
        <w:bookmarkStart w:id="32" w:name="QQ2-1-35"/>
        <w:bookmarkEnd w:id="32"/>
        <w:r>
          <w:rPr>
            <w:rStyle w:val="Hyperlink"/>
          </w:rPr>
          <w:t>Flujo del paciente</w:t>
        </w:r>
      </w:hyperlink>
      <w:r>
        <w:rPr/>
        <w:t xml:space="preserve"> </w:t>
        <w:br/>
        <w:t xml:space="preserve">3.2.5 </w:t>
      </w:r>
      <w:hyperlink w:anchor="x1-330003.2.5">
        <w:bookmarkStart w:id="33" w:name="QQ2-1-36"/>
        <w:bookmarkEnd w:id="33"/>
        <w:r>
          <w:rPr>
            <w:rStyle w:val="Hyperlink"/>
          </w:rPr>
          <w:t>Pruebas realizadas</w:t>
        </w:r>
      </w:hyperlink>
      <w:r>
        <w:rPr/>
        <w:t xml:space="preserve"> </w:t>
        <w:br/>
        <w:t xml:space="preserve">3.2.6 </w:t>
      </w:r>
      <w:hyperlink w:anchor="x1-340003.2.6">
        <w:bookmarkStart w:id="34" w:name="QQ2-1-37"/>
        <w:bookmarkEnd w:id="34"/>
        <w:r>
          <w:rPr>
            <w:rStyle w:val="Hyperlink"/>
          </w:rPr>
          <w:t>Estado de cumplimiento al cierre de la segunda etapa</w:t>
        </w:r>
      </w:hyperlink>
      <w:r>
        <w:rPr/>
        <w:t xml:space="preserve"> </w:t>
        <w:br/>
        <w:t xml:space="preserve">3.3 </w:t>
      </w:r>
      <w:hyperlink w:anchor="x1-350003.3">
        <w:bookmarkStart w:id="35" w:name="QQ2-1-38"/>
        <w:bookmarkEnd w:id="35"/>
        <w:r>
          <w:rPr>
            <w:rStyle w:val="Hyperlink"/>
          </w:rPr>
          <w:t>Resultado de las dos primeras etapas</w:t>
        </w:r>
      </w:hyperlink>
      <w:r>
        <w:rPr/>
        <w:t xml:space="preserve"> </w:t>
        <w:br/>
      </w:r>
      <w:hyperlink w:anchor="Q1-1-40">
        <w:r>
          <w:rPr>
            <w:rStyle w:val="Hyperlink"/>
            <w:b/>
          </w:rPr>
          <w:t>Referencias</w:t>
        </w:r>
      </w:hyperlink>
      <w:r>
        <w:rPr/>
        <w:t xml:space="preserve"> </w:t>
      </w:r>
    </w:p>
    <w:p>
      <w:pPr>
        <w:pStyle w:val="Heading2"/>
        <w:bidi w:val="0"/>
        <w:ind w:hanging="0" w:start="0" w:end="0"/>
        <w:jc w:val="start"/>
        <w:rPr/>
      </w:pPr>
      <w:r>
        <w:rPr/>
        <w:t>Capítulo 1</w:t>
        <w:br/>
      </w:r>
      <w:bookmarkStart w:id="36" w:name="x1-30001"/>
      <w:bookmarkEnd w:id="36"/>
      <w:r>
        <w:rPr/>
        <w:t>Antecedentes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1.1 </w:t>
      </w:r>
      <w:bookmarkStart w:id="37" w:name="x1-40001.1"/>
      <w:bookmarkEnd w:id="37"/>
      <w:r>
        <w:rPr/>
        <w:t>Tema del proyecto</w:t>
      </w:r>
    </w:p>
    <w:p>
      <w:pPr>
        <w:pStyle w:val="BodyText"/>
        <w:bidi w:val="0"/>
        <w:jc w:val="start"/>
        <w:rPr/>
      </w:pPr>
      <w:r>
        <w:rPr/>
        <w:t xml:space="preserve">PREDIA (Plataforma Clínica Inteligente para la Detección Temprana de Diabetes) es un proyecto de software clínico que integra la administración de pacientes, historiales médicos y herramientas de apoyo basadas en Inteligencia Artificial. Su propósito es organizar información clínica estructurada y convertirla en señales útiles para la prevención, el seguimiento y la toma de decisiones por parte de profesionales de la salud. </w:t>
      </w:r>
    </w:p>
    <w:p>
      <w:pPr>
        <w:pStyle w:val="BodyTextindent"/>
        <w:bidi w:val="0"/>
        <w:jc w:val="start"/>
        <w:rPr/>
      </w:pPr>
      <w:r>
        <w:rPr/>
        <w:t xml:space="preserve">El proyecto original se implementó como una plataforma web con arquitectura cliente–servidor, API REST, base de datos relacional, autenticación mediante JSON Web Tokens y control de acceso por roles. Esta versión permite administrar pacientes, consultas, alergias, patologías, vacunas, antecedentes, signos vitales, documentos, recetas y predicciones de riesgo. La plataforma constituye el núcleo transaccional y clínico del sistema. </w:t>
      </w:r>
    </w:p>
    <w:p>
      <w:pPr>
        <w:pStyle w:val="BodyTextindent"/>
        <w:bidi w:val="0"/>
        <w:jc w:val="start"/>
        <w:rPr/>
      </w:pPr>
      <w:r>
        <w:rPr/>
        <w:t xml:space="preserve">La evolución del proyecto incorpora una aplicación móvil complementaria. Esta nueva integración no pretende duplicar todos los módulos de la web, sino adaptar el producto a escenarios en los que el usuario necesita información inmediata, acciones breves y capacidades nativas del dispositivo.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1390650" cy="1390650"/>
            <wp:effectExtent l="0" t="0" r="0" b="0"/>
            <wp:docPr id="2" name="Image2" descr="" title="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PIC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bookmarkStart w:id="38" w:name="x1-4001r1"/>
      <w:bookmarkEnd w:id="38"/>
    </w:p>
    <w:p>
      <w:pPr>
        <w:pStyle w:val="BodyText"/>
        <w:bidi w:val="0"/>
        <w:spacing w:before="0" w:after="0"/>
        <w:jc w:val="start"/>
        <w:rPr/>
      </w:pPr>
      <w:r>
        <w:rPr/>
        <w:t xml:space="preserve">Figura 1.1: Logo del proyecto PREDIA utilizado en la aplicación móvil.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indent"/>
        <w:bidi w:val="0"/>
        <w:jc w:val="start"/>
        <w:rPr/>
      </w:pPr>
      <w:r>
        <w:rPr/>
        <w:t xml:space="preserve">El símbolo gráfico se construye a partir de una forma geométrica ascendente en color azul clínico. La composición comunica tecnología, precisión y evolución, mientras que la paleta azul se asocia con confianza, seguridad y atención sanitaria. El logo se utiliza como identificador visual común entre las experiencias web y móvil. 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1.2 </w:t>
      </w:r>
      <w:bookmarkStart w:id="39" w:name="x1-50001.2"/>
      <w:bookmarkEnd w:id="39"/>
      <w:r>
        <w:rPr/>
        <w:t>Contexto clínico y tecnológico</w:t>
      </w:r>
    </w:p>
    <w:p>
      <w:pPr>
        <w:pStyle w:val="BodyText"/>
        <w:bidi w:val="0"/>
        <w:jc w:val="start"/>
        <w:rPr/>
      </w:pPr>
      <w:r>
        <w:rPr/>
        <w:t xml:space="preserve">La diabetes mellitus tipo 2 representa un problema relevante de salud pública por su alta prevalencia, su evolución progresiva y el impacto de sus complicaciones. La detección tardía reduce las oportunidades de prevención y aumenta la necesidad de intervenciones complejas. Por esta razón, el seguimiento sistemático de factores como peso, índice de masa corporal, presión arterial, glucosa y antecedentes familiares resulta fundamental. </w:t>
      </w:r>
    </w:p>
    <w:p>
      <w:pPr>
        <w:pStyle w:val="BodyTextindent"/>
        <w:bidi w:val="0"/>
        <w:jc w:val="start"/>
        <w:rPr/>
      </w:pPr>
      <w:r>
        <w:rPr/>
        <w:t xml:space="preserve">Al mismo tiempo, muchas instituciones y consultorios mantienen información clínica distribuida entre documentos físicos, hojas de cálculo y sistemas que no comparten datos. Esta fragmentación dificulta reconstruir la evolución del paciente, identificar valores anormales y dar continuidad al tratamiento. PREDIA surgió para centralizar esa información y utilizarla como base de un sistema de apoyo a la decisión clínica. </w:t>
      </w:r>
    </w:p>
    <w:p>
      <w:pPr>
        <w:pStyle w:val="BodyTextindent"/>
        <w:bidi w:val="0"/>
        <w:jc w:val="start"/>
        <w:rPr/>
      </w:pPr>
      <w:r>
        <w:rPr/>
        <w:t xml:space="preserve">La adopción generalizada de teléfonos inteligentes abre un segundo contexto de uso. El paciente puede registrar mediciones fuera de la consulta y recibir recordatorios; el médico puede revisar datos durante una ronda, capturar una nota por voz o tomar una fotografía clínica sin depender de una estación de trabajo. Estas actividades requieren una experiencia diseñada para movilidad, interacción táctil, sesiones breves y conectividad variable. 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1.3 </w:t>
      </w:r>
      <w:bookmarkStart w:id="40" w:name="x1-60001.3"/>
      <w:bookmarkEnd w:id="40"/>
      <w:r>
        <w:rPr/>
        <w:t>Situación previa de PREDIA</w:t>
      </w:r>
    </w:p>
    <w:p>
      <w:pPr>
        <w:pStyle w:val="BodyText"/>
        <w:bidi w:val="0"/>
        <w:jc w:val="start"/>
        <w:rPr/>
      </w:pPr>
      <w:r>
        <w:rPr/>
        <w:t xml:space="preserve">Antes de la integración móvil, la plataforma resolvía principalmente el flujo del personal médico, de enfermería y administración desde navegador. El sistema ya contaba con base de datos clínica, endpoints de autenticación, pacientes, agenda, mediciones, recetas, documentos y predicciones. También existían mecanismos de seguridad, generación de reportes y contenedorización para el entorno de desarrollo. </w:t>
      </w:r>
    </w:p>
    <w:p>
      <w:pPr>
        <w:pStyle w:val="BodyTextindent"/>
        <w:bidi w:val="0"/>
        <w:jc w:val="start"/>
        <w:rPr/>
      </w:pPr>
      <w:r>
        <w:rPr/>
        <w:t xml:space="preserve">No obstante, se identificaron cinco brechas principales: </w:t>
      </w:r>
    </w:p>
    <w:p>
      <w:pPr>
        <w:pStyle w:val="ListHeading"/>
        <w:bidi w:val="0"/>
        <w:jc w:val="start"/>
        <w:rPr/>
      </w:pPr>
      <w:r>
        <w:rPr/>
        <w:t xml:space="preserve">1. </w:t>
      </w:r>
    </w:p>
    <w:p>
      <w:pPr>
        <w:pStyle w:val="ListContents"/>
        <w:bidi w:val="0"/>
        <w:jc w:val="start"/>
        <w:rPr/>
      </w:pPr>
      <w:r>
        <w:rPr/>
        <w:t xml:space="preserve">El paciente no disponía de una experiencia propia para consultar sus datos y participar en el seguimiento de su salud. </w:t>
      </w:r>
    </w:p>
    <w:p>
      <w:pPr>
        <w:pStyle w:val="ListHeading"/>
        <w:bidi w:val="0"/>
        <w:jc w:val="start"/>
        <w:rPr/>
      </w:pPr>
      <w:r>
        <w:rPr/>
        <w:t xml:space="preserve">2. </w:t>
      </w:r>
    </w:p>
    <w:p>
      <w:pPr>
        <w:pStyle w:val="ListContents"/>
        <w:bidi w:val="0"/>
        <w:jc w:val="start"/>
        <w:rPr/>
      </w:pPr>
      <w:r>
        <w:rPr/>
        <w:t xml:space="preserve">La interfaz web no estaba optimizada para consulta rápida durante rondas o atención al pie de cama. </w:t>
      </w:r>
    </w:p>
    <w:p>
      <w:pPr>
        <w:pStyle w:val="ListHeading"/>
        <w:bidi w:val="0"/>
        <w:jc w:val="start"/>
        <w:rPr/>
      </w:pPr>
      <w:r>
        <w:rPr/>
        <w:t xml:space="preserve">3. </w:t>
      </w:r>
    </w:p>
    <w:p>
      <w:pPr>
        <w:pStyle w:val="ListContents"/>
        <w:bidi w:val="0"/>
        <w:jc w:val="start"/>
        <w:rPr/>
      </w:pPr>
      <w:r>
        <w:rPr/>
        <w:t xml:space="preserve">La captura clínica móvil requería aprovechar micrófono, cámara y autenticación biométrica. </w:t>
      </w:r>
    </w:p>
    <w:p>
      <w:pPr>
        <w:pStyle w:val="ListHeading"/>
        <w:bidi w:val="0"/>
        <w:jc w:val="start"/>
        <w:rPr/>
      </w:pPr>
      <w:r>
        <w:rPr/>
        <w:t xml:space="preserve">4. </w:t>
      </w:r>
    </w:p>
    <w:p>
      <w:pPr>
        <w:pStyle w:val="ListContents"/>
        <w:bidi w:val="0"/>
        <w:jc w:val="start"/>
        <w:rPr/>
      </w:pPr>
      <w:r>
        <w:rPr/>
        <w:t xml:space="preserve">El automonitoreo entre consultas no contaba con una interfaz específica para registro y visualización de tendencias. </w:t>
      </w:r>
    </w:p>
    <w:p>
      <w:pPr>
        <w:pStyle w:val="ListHeading"/>
        <w:bidi w:val="0"/>
        <w:jc w:val="start"/>
        <w:rPr/>
      </w:pPr>
      <w:r>
        <w:rPr/>
        <w:t xml:space="preserve">5. </w:t>
      </w:r>
    </w:p>
    <w:p>
      <w:pPr>
        <w:pStyle w:val="ListContents"/>
        <w:bidi w:val="0"/>
        <w:spacing w:before="0" w:after="283"/>
        <w:jc w:val="start"/>
        <w:rPr/>
      </w:pPr>
      <w:r>
        <w:rPr/>
        <w:t>Los recordatorios y alertas dependían de mecanismos web o correo, con menor oportunidad que una notificación móvil nativa.</w:t>
      </w:r>
    </w:p>
    <w:p>
      <w:pPr>
        <w:pStyle w:val="BodyTextindent"/>
        <w:bidi w:val="0"/>
        <w:jc w:val="start"/>
        <w:rPr/>
      </w:pPr>
      <w:r>
        <w:rPr/>
        <w:t xml:space="preserve">Estas brechas justifican una aplicación móvil especializada que consuma los servicios existentes, mantenga una fuente única de información y ofrezca funciones coherentes con el contexto del dispositivo. 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1.4 </w:t>
      </w:r>
      <w:bookmarkStart w:id="41" w:name="x1-70001.4"/>
      <w:bookmarkEnd w:id="41"/>
      <w:r>
        <w:rPr/>
        <w:t>Antecedente de requisitos móviles</w:t>
      </w:r>
    </w:p>
    <w:p>
      <w:pPr>
        <w:pStyle w:val="BodyText"/>
        <w:bidi w:val="0"/>
        <w:jc w:val="start"/>
        <w:rPr/>
      </w:pPr>
      <w:r>
        <w:rPr/>
        <w:t xml:space="preserve">El levantamiento previo definió 17 requisitos funcionales. Ocho corresponden al paciente: autenticación, dashboard personal, consulta de riesgo, expediente, recetas, citas, automonitoreo y tendencias. Nueve corresponden al médico: autenticación, agenda, resumen rápido, signos vitales, dictado, cámara clínica, validación de IA, alertas críticas y firma biométrica. </w:t>
      </w:r>
    </w:p>
    <w:p>
      <w:pPr>
        <w:pStyle w:val="BodyTextindent"/>
        <w:bidi w:val="0"/>
        <w:jc w:val="start"/>
        <w:rPr/>
      </w:pPr>
      <w:r>
        <w:rPr/>
        <w:t xml:space="preserve">Los requisitos no funcionales consideran rendimiento, disponibilidad offline, protección de información, compatibilidad con Android e iOS, usabilidad, consumo de recursos y accesibilidad. Esta base permitió pasar de una idea general de “app móvil” a una arquitectura con roles, interfaces, prioridades y criterios de aceptación. </w:t>
      </w:r>
    </w:p>
    <w:p>
      <w:pPr>
        <w:pStyle w:val="Heading2"/>
        <w:bidi w:val="0"/>
        <w:ind w:hanging="0" w:start="0" w:end="0"/>
        <w:jc w:val="start"/>
        <w:rPr/>
      </w:pPr>
      <w:r>
        <w:rPr/>
        <w:t>Capítulo 2</w:t>
        <w:br/>
      </w:r>
      <w:bookmarkStart w:id="42" w:name="x1-80002"/>
      <w:bookmarkEnd w:id="42"/>
      <w:r>
        <w:rPr/>
        <w:t>Definición del proyecto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2.1 </w:t>
      </w:r>
      <w:bookmarkStart w:id="43" w:name="x1-90002.1"/>
      <w:bookmarkEnd w:id="43"/>
      <w:r>
        <w:rPr/>
        <w:t>Planteamiento del problema</w:t>
      </w:r>
    </w:p>
    <w:p>
      <w:pPr>
        <w:pStyle w:val="BodyText"/>
        <w:bidi w:val="0"/>
        <w:jc w:val="start"/>
        <w:rPr/>
      </w:pPr>
      <w:r>
        <w:rPr/>
        <w:t xml:space="preserve">La plataforma web de PREDIA centraliza información clínica y ofrece herramientas predictivas, pero no cubre por completo las necesidades que aparecen fuera del consultorio o de una computadora. El paciente continúa dependiendo del personal médico para conocer resultados, revisar indicaciones y dar seguimiento a sus mediciones. A su vez, el médico necesita acceder con rapidez al expediente mientras se desplaza, registrar signos vitales, documentar hallazgos y atender alertas sin completar flujos extensos diseñados para escritorio. </w:t>
      </w:r>
    </w:p>
    <w:p>
      <w:pPr>
        <w:pStyle w:val="BodyTextindent"/>
        <w:bidi w:val="0"/>
        <w:jc w:val="start"/>
        <w:rPr/>
      </w:pPr>
      <w:r>
        <w:rPr/>
        <w:t xml:space="preserve">Esta separación entre la información disponible y el contexto real de uso provoca retrasos y fricción. Un dato de presión o glucosa registrado en casa puede quedar fuera del expediente; una alerta de alto riesgo puede no revisarse oportunamente; una nota clínica puede posponerse hasta que el médico regrese a una computadora. Además, la falta de participación directa del paciente limita la continuidad del seguimiento entre consultas. </w:t>
      </w:r>
    </w:p>
    <w:p>
      <w:pPr>
        <w:pStyle w:val="BodyTextindent"/>
        <w:bidi w:val="0"/>
        <w:jc w:val="start"/>
        <w:rPr/>
      </w:pPr>
      <w:r>
        <w:rPr/>
        <w:t xml:space="preserve">El problema central consiste, por tanto, en que PREDIA dispone de información y servicios clínicos, pero requiere un canal móvil seguro y especializado que los acerque a dos momentos críticos: la autogestión cotidiana del paciente y la atención del médico en movimiento. Resolverlo exige mantener una sola fuente de datos, adaptar la navegación a tareas frecuentes y aprovechar capacidades nativas sin comprometer la confidencialidad del expediente. </w:t>
      </w:r>
    </w:p>
    <w:p>
      <w:pPr>
        <w:pStyle w:val="BodyTextindent"/>
        <w:bidi w:val="0"/>
        <w:ind w:hanging="0" w:start="0" w:end="0"/>
        <w:jc w:val="start"/>
        <w:rPr/>
      </w:pPr>
      <w:r>
        <w:rPr/>
        <w:t xml:space="preserve">La pregunta que orienta el proyecto es la siguiente: </w:t>
      </w:r>
      <w:r>
        <w:rPr>
          <w:i/>
        </w:rPr>
        <w:t>¿cómo ampliar PREDIA mediante</w:t>
      </w:r>
      <w:r>
        <w:rPr/>
        <w:t xml:space="preserve"> </w:t>
      </w:r>
      <w:r>
        <w:rPr>
          <w:i/>
        </w:rPr>
        <w:t>una aplicación móvil complementaria que permita al paciente participar en el seguimiento de su</w:t>
      </w:r>
      <w:r>
        <w:rPr/>
        <w:t xml:space="preserve"> </w:t>
      </w:r>
      <w:r>
        <w:rPr>
          <w:i/>
        </w:rPr>
        <w:t>salud y al médico actuar con rapidez durante la atención clínica, conservando seguridad,</w:t>
      </w:r>
      <w:r>
        <w:rPr/>
        <w:t xml:space="preserve"> </w:t>
      </w:r>
      <w:r>
        <w:rPr>
          <w:i/>
        </w:rPr>
        <w:t>trazabilidad y consistencia con la plataforma web?</w:t>
      </w:r>
      <w:r>
        <w:rPr/>
        <w:t xml:space="preserve"> 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2.2 </w:t>
      </w:r>
      <w:bookmarkStart w:id="44" w:name="x1-100002.2"/>
      <w:bookmarkEnd w:id="44"/>
      <w:r>
        <w:rPr/>
        <w:t>Justificación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2.2.1 </w:t>
      </w:r>
      <w:bookmarkStart w:id="45" w:name="x1-110002.2.1"/>
      <w:bookmarkEnd w:id="45"/>
      <w:r>
        <w:rPr/>
        <w:t>Valor para el paciente</w:t>
      </w:r>
    </w:p>
    <w:p>
      <w:pPr>
        <w:pStyle w:val="BodyText"/>
        <w:bidi w:val="0"/>
        <w:jc w:val="start"/>
        <w:rPr/>
      </w:pPr>
      <w:r>
        <w:rPr/>
        <w:t xml:space="preserve">La integración móvil mejora el acceso del paciente a información que le pertenece y que influye en sus decisiones cotidianas. Consultar citas, recetas, recomendaciones y tendencias desde un teléfono reduce dependencia administrativa y facilita la comprensión del propio estado de salud. El automonitoreo de glucosa, peso y presión permite construir una evolución más continua que la obtenida únicamente durante consultas periódicas. 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2.2.2 </w:t>
      </w:r>
      <w:bookmarkStart w:id="46" w:name="x1-120002.2.2"/>
      <w:bookmarkEnd w:id="46"/>
      <w:r>
        <w:rPr/>
        <w:t>Valor para el personal médico</w:t>
      </w:r>
    </w:p>
    <w:p>
      <w:pPr>
        <w:pStyle w:val="BodyText"/>
        <w:bidi w:val="0"/>
        <w:jc w:val="start"/>
        <w:rPr/>
      </w:pPr>
      <w:r>
        <w:rPr/>
        <w:t xml:space="preserve">Durante rondas y atención directa, la información crítica debe estar disponible con pocos pasos. Una vista rápida con alergias, medicamentos, signos recientes, riesgo y alertas reduce el tiempo dedicado a buscar datos dispersos. El registro móvil de mediciones, notas y fotografías disminuye la duplicidad de captura y mejora la oportunidad con la que la información llega al expediente. 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2.2.3 </w:t>
      </w:r>
      <w:bookmarkStart w:id="47" w:name="x1-130002.2.3"/>
      <w:bookmarkEnd w:id="47"/>
      <w:r>
        <w:rPr/>
        <w:t>Aprovechamiento de capacidades nativas</w:t>
      </w:r>
    </w:p>
    <w:p>
      <w:pPr>
        <w:pStyle w:val="BodyText"/>
        <w:bidi w:val="0"/>
        <w:jc w:val="start"/>
        <w:rPr/>
      </w:pPr>
      <w:r>
        <w:rPr/>
        <w:t xml:space="preserve">La aplicación móvil puede utilizar autenticación biométrica, cámara, micrófono y notificaciones. Estas capacidades permiten desbloqueo seguro, evidencia clínica, dictado de notas y avisos oportunos. Aunque algunas funciones podrían simularse en navegador, su integración nativa ofrece una experiencia más directa y adecuada para sesiones breves. 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2.2.4 </w:t>
      </w:r>
      <w:bookmarkStart w:id="48" w:name="x1-140002.2.4"/>
      <w:bookmarkEnd w:id="48"/>
      <w:r>
        <w:rPr/>
        <w:t>Reutilización de la inversión tecnológica</w:t>
      </w:r>
    </w:p>
    <w:p>
      <w:pPr>
        <w:pStyle w:val="BodyText"/>
        <w:bidi w:val="0"/>
        <w:jc w:val="start"/>
        <w:rPr/>
      </w:pPr>
      <w:r>
        <w:rPr/>
        <w:t xml:space="preserve">La solución no crea un backend independiente. La aplicación consume la API y la base de datos ya desarrolladas para la plataforma web, lo que reduce duplicidad y mantiene consistencia. React Native y Expo también reutilizan conocimientos del equipo en React, TypeScript, Zustand y TanStack Query. De esta forma, la ampliación móvil aprovecha la inversión previa y conserva una arquitectura mantenible. 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2.2.5 </w:t>
      </w:r>
      <w:bookmarkStart w:id="49" w:name="x1-150002.2.5"/>
      <w:bookmarkEnd w:id="49"/>
      <w:r>
        <w:rPr/>
        <w:t>Continuidad clínica y prevención</w:t>
      </w:r>
    </w:p>
    <w:p>
      <w:pPr>
        <w:pStyle w:val="BodyText"/>
        <w:bidi w:val="0"/>
        <w:jc w:val="start"/>
        <w:rPr/>
      </w:pPr>
      <w:r>
        <w:rPr/>
        <w:t xml:space="preserve">La combinación de información web y móvil permite registrar eventos en distintos momentos del proceso clínico. El médico genera indicaciones y valida riesgos; el paciente consulta esas indicaciones y aporta mediciones entre visitas. Esta continuidad fortalece el carácter preventivo de PREDIA y transforma la plataforma de un repositorio de información a una herramienta de seguimiento y apoyo a decisiones. 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2.3 </w:t>
      </w:r>
      <w:bookmarkStart w:id="50" w:name="x1-160002.3"/>
      <w:bookmarkEnd w:id="50"/>
      <w:r>
        <w:rPr/>
        <w:t>Alcances y restricciones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2.3.1 </w:t>
      </w:r>
      <w:bookmarkStart w:id="51" w:name="x1-170002.3.1"/>
      <w:bookmarkEnd w:id="51"/>
      <w:r>
        <w:rPr/>
        <w:t>Alcances</w:t>
      </w:r>
    </w:p>
    <w:p>
      <w:pPr>
        <w:pStyle w:val="BodyText"/>
        <w:bidi w:val="0"/>
        <w:jc w:val="start"/>
        <w:rPr/>
      </w:pPr>
      <w:r>
        <w:rPr/>
        <w:t xml:space="preserve">El proyecto contempla los siguientes alcances para la integración móvil: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Aplicación multiplataforma desarrollada con React Native y Expo, con base común para Android, iOS y validación web del prototipo.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Autenticación diferenciada para médico y paciente, persistencia segura de sesión y base para desbloqueo biométrico.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Navegación médica mediante Inicio, Agenda, Pacientes, Alertas y Perfil.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Dashboard médico con citas del día, pacientes de alto riesgo, acciones rápidas y acceso al resumen clínico.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Resumen móvil del paciente con identidad, contacto, riesgo estratificado, alergias, signos vitales, consultas y recetas.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Registro rápido de signos vitales conectado a la API de PREDIA.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Dictado de notas con captura de audio, transcripción y persistencia de la nota en el expediente.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Captura de fotografías clínicas mediante cámara y flujo para adjuntar evidencia.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Revisión y validación de predicciones de Inteligencia Artificial por parte del médico.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Firma de recetas con autenticación biométrica cuando el dispositivo la soporte y flujo controlado de demostración en emulador.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Portal base del paciente con dashboard, expediente, recetas, citas, automonitoreo, resultados y tendencias.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Consumo de la API web mediante TanStack Query, manejo de estados de carga, error y refresco de datos.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Integración de objetivos de salud para peso, IMC y presión como base de seguimiento longitudinal.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2.3.2 </w:t>
      </w:r>
      <w:bookmarkStart w:id="52" w:name="x1-180002.3.2"/>
      <w:bookmarkEnd w:id="52"/>
      <w:r>
        <w:rPr/>
        <w:t>Restricciones</w:t>
      </w:r>
    </w:p>
    <w:p>
      <w:pPr>
        <w:pStyle w:val="Normal"/>
        <w:bidi w:val="0"/>
        <w:spacing w:before="0" w:after="0"/>
        <w:ind w:hanging="0" w:start="0" w:end="0"/>
        <w:jc w:val="start"/>
        <w:rPr>
          <w:sz w:val="4"/>
          <w:szCs w:val="4"/>
        </w:rPr>
      </w:pPr>
      <w:r>
        <w:rPr>
          <w:sz w:val="4"/>
          <w:szCs w:val="4"/>
        </w:rPr>
      </w:r>
      <w:bookmarkStart w:id="53" w:name="x1-18001r1"/>
      <w:bookmarkStart w:id="54" w:name="TBL-1"/>
      <w:bookmarkStart w:id="55" w:name="TBL-1-1g"/>
      <w:bookmarkStart w:id="56" w:name="TBL-1-1"/>
      <w:bookmarkStart w:id="57" w:name="TBL-1-2"/>
      <w:bookmarkStart w:id="58" w:name="TBL-1-1-"/>
      <w:bookmarkStart w:id="59" w:name="x1-18001r1"/>
      <w:bookmarkStart w:id="60" w:name="TBL-1"/>
      <w:bookmarkStart w:id="61" w:name="TBL-1-1g"/>
      <w:bookmarkStart w:id="62" w:name="TBL-1-1"/>
      <w:bookmarkStart w:id="63" w:name="TBL-1-2"/>
      <w:bookmarkStart w:id="64" w:name="TBL-1-1-"/>
      <w:bookmarkEnd w:id="59"/>
      <w:bookmarkEnd w:id="60"/>
      <w:bookmarkEnd w:id="61"/>
      <w:bookmarkEnd w:id="62"/>
      <w:bookmarkEnd w:id="63"/>
      <w:bookmarkEnd w:id="64"/>
    </w:p>
    <w:tbl>
      <w:tblPr>
        <w:tblW w:w="105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87"/>
        <w:gridCol w:w="8452"/>
      </w:tblGrid>
      <w:tr>
        <w:trPr/>
        <w:tc>
          <w:tcPr>
            <w:tcW w:w="10539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65" w:name="TBL-1-2-"/>
            <w:bookmarkStart w:id="66" w:name="TBL-1-2-1"/>
            <w:bookmarkStart w:id="67" w:name="TBL-1-1-1"/>
            <w:bookmarkStart w:id="68" w:name="TBL-1-2-"/>
            <w:bookmarkStart w:id="69" w:name="TBL-1-2-1"/>
            <w:bookmarkStart w:id="70" w:name="TBL-1-1-1"/>
            <w:bookmarkEnd w:id="68"/>
            <w:bookmarkEnd w:id="69"/>
            <w:bookmarkEnd w:id="70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Categoría</w:t>
            </w:r>
            <w:r>
              <w:rPr/>
              <w:t xml:space="preserve"> </w:t>
            </w:r>
            <w:bookmarkStart w:id="71" w:name="TBL-1-2-2"/>
            <w:bookmarkEnd w:id="71"/>
          </w:p>
        </w:tc>
        <w:tc>
          <w:tcPr>
            <w:tcW w:w="8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Restricción </w:t>
            </w:r>
            <w:bookmarkStart w:id="72" w:name="TBL-1-3-"/>
            <w:bookmarkStart w:id="73" w:name="TBL-1-3-1"/>
            <w:bookmarkEnd w:id="72"/>
            <w:bookmarkEnd w:id="73"/>
          </w:p>
        </w:tc>
      </w:tr>
      <w:tr>
        <w:trPr/>
        <w:tc>
          <w:tcPr>
            <w:tcW w:w="10539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74" w:name="TBL-1-4-"/>
            <w:bookmarkStart w:id="75" w:name="TBL-1-4-1"/>
            <w:bookmarkStart w:id="76" w:name="TBL-1-4-"/>
            <w:bookmarkStart w:id="77" w:name="TBL-1-4-1"/>
            <w:bookmarkEnd w:id="76"/>
            <w:bookmarkEnd w:id="77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78" w:name="TBL-1-5-"/>
            <w:bookmarkStart w:id="79" w:name="TBL-1-5-1"/>
            <w:bookmarkStart w:id="80" w:name="TBL-1-5-"/>
            <w:bookmarkStart w:id="81" w:name="TBL-1-5-1"/>
            <w:bookmarkEnd w:id="80"/>
            <w:bookmarkEnd w:id="81"/>
          </w:p>
        </w:tc>
        <w:tc>
          <w:tcPr>
            <w:tcW w:w="8452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82" w:name="TBL-1-5-2"/>
            <w:bookmarkStart w:id="83" w:name="TBL-1-5-2"/>
            <w:bookmarkEnd w:id="83"/>
          </w:p>
        </w:tc>
        <w:tc>
          <w:tcPr>
            <w:tcW w:w="845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84" w:name="TBL-1-11-"/>
            <w:bookmarkStart w:id="85" w:name="TBL-1-11-1"/>
            <w:bookmarkStart w:id="86" w:name="TBL-1-11-"/>
            <w:bookmarkStart w:id="87" w:name="TBL-1-11-1"/>
            <w:bookmarkEnd w:id="86"/>
            <w:bookmarkEnd w:id="87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Dispositivos</w:t>
            </w:r>
            <w:r>
              <w:rPr/>
              <w:t xml:space="preserve"> </w:t>
            </w:r>
            <w:bookmarkStart w:id="88" w:name="TBL-1-11-2"/>
            <w:bookmarkEnd w:id="88"/>
          </w:p>
        </w:tc>
        <w:tc>
          <w:tcPr>
            <w:tcW w:w="8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La validación funcional actual se ha realizado principalmente en Expo Web y emuladores; el comportamiento final de cámara, biometría, audio y notificaciones debe verificarse en equipos físicos Android e iOS. </w:t>
            </w:r>
            <w:bookmarkStart w:id="89" w:name="TBL-1-12-"/>
            <w:bookmarkStart w:id="90" w:name="TBL-1-12-1"/>
            <w:bookmarkEnd w:id="89"/>
            <w:bookmarkEnd w:id="90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Conectividad</w:t>
            </w:r>
            <w:r>
              <w:rPr/>
              <w:t xml:space="preserve"> </w:t>
            </w:r>
            <w:bookmarkStart w:id="91" w:name="TBL-1-12-2"/>
            <w:bookmarkEnd w:id="91"/>
          </w:p>
        </w:tc>
        <w:tc>
          <w:tcPr>
            <w:tcW w:w="8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La lectura y escritura clínica requieren acceso a la API. La estrategia offline completa, con cifrado local y cola de sincronización, permanece como trabajo posterior. </w:t>
            </w:r>
            <w:bookmarkStart w:id="92" w:name="TBL-1-13-"/>
            <w:bookmarkStart w:id="93" w:name="TBL-1-13-1"/>
            <w:bookmarkEnd w:id="92"/>
            <w:bookmarkEnd w:id="93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Notificaciones</w:t>
            </w:r>
            <w:r>
              <w:rPr/>
              <w:t xml:space="preserve"> </w:t>
            </w:r>
            <w:bookmarkStart w:id="94" w:name="TBL-1-13-2"/>
            <w:bookmarkEnd w:id="94"/>
          </w:p>
        </w:tc>
        <w:tc>
          <w:tcPr>
            <w:tcW w:w="8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La arquitectura contempla Expo Notifications, pero el envío push en producción requiere credenciales, configuración de proyectos y pruebas con servicios de Apple y Google. </w:t>
            </w:r>
            <w:bookmarkStart w:id="95" w:name="TBL-1-14-"/>
            <w:bookmarkStart w:id="96" w:name="TBL-1-14-1"/>
            <w:bookmarkEnd w:id="95"/>
            <w:bookmarkEnd w:id="96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Seguridad</w:t>
            </w:r>
            <w:r>
              <w:rPr/>
              <w:t xml:space="preserve"> </w:t>
            </w:r>
            <w:bookmarkStart w:id="97" w:name="TBL-1-14-2"/>
            <w:bookmarkEnd w:id="97"/>
          </w:p>
        </w:tc>
        <w:tc>
          <w:tcPr>
            <w:tcW w:w="8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La información médica exige protección de sesión, cifrado, control de permisos y cumplimiento normativo. El prototipo no sustituye una auditoría formal de seguridad ni una certificación clínica. </w:t>
            </w:r>
            <w:bookmarkStart w:id="98" w:name="TBL-1-15-"/>
            <w:bookmarkStart w:id="99" w:name="TBL-1-15-1"/>
            <w:bookmarkEnd w:id="98"/>
            <w:bookmarkEnd w:id="99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Interoperabilidad</w:t>
            </w:r>
            <w:r>
              <w:rPr/>
              <w:t xml:space="preserve"> </w:t>
            </w:r>
            <w:bookmarkStart w:id="100" w:name="TBL-1-15-2"/>
            <w:bookmarkEnd w:id="100"/>
          </w:p>
        </w:tc>
        <w:tc>
          <w:tcPr>
            <w:tcW w:w="8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La primera versión consume la API propia de PREDIA; no incorpora integración productiva con sistemas externos del IMSS, expedientes legados o redes hospitalarias. </w:t>
            </w:r>
            <w:bookmarkStart w:id="101" w:name="TBL-1-16-"/>
            <w:bookmarkStart w:id="102" w:name="TBL-1-16-1"/>
            <w:bookmarkEnd w:id="101"/>
            <w:bookmarkEnd w:id="102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Funciones</w:t>
            </w:r>
            <w:r>
              <w:rPr/>
              <w:t xml:space="preserve"> </w:t>
            </w:r>
            <w:r>
              <w:rPr>
                <w:b/>
              </w:rPr>
              <w:t>pendientes</w:t>
            </w:r>
            <w:r>
              <w:rPr/>
              <w:t xml:space="preserve"> </w:t>
            </w:r>
            <w:bookmarkStart w:id="103" w:name="TBL-1-16-2"/>
            <w:bookmarkEnd w:id="103"/>
          </w:p>
        </w:tc>
        <w:tc>
          <w:tcPr>
            <w:tcW w:w="8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Mensajería clínica segura, QR/NFC, sincronización offline completa y recordatorios avanzados se encuentran fuera de las dos primeras etapas. </w:t>
            </w:r>
            <w:bookmarkStart w:id="104" w:name="TBL-1-17-"/>
            <w:bookmarkStart w:id="105" w:name="TBL-1-17-1"/>
            <w:bookmarkEnd w:id="104"/>
            <w:bookmarkEnd w:id="105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Modelo de IA</w:t>
            </w:r>
            <w:r>
              <w:rPr/>
              <w:t xml:space="preserve"> </w:t>
            </w:r>
            <w:bookmarkStart w:id="106" w:name="TBL-1-17-2"/>
            <w:bookmarkEnd w:id="106"/>
          </w:p>
        </w:tc>
        <w:tc>
          <w:tcPr>
            <w:tcW w:w="8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La predicción es una herramienta de cribado y apoyo. No constituye diagnóstico y requiere interpretación y validación médica. </w:t>
            </w:r>
            <w:bookmarkStart w:id="107" w:name="TBL-1-18-"/>
            <w:bookmarkStart w:id="108" w:name="TBL-1-18-1"/>
            <w:bookmarkEnd w:id="107"/>
            <w:bookmarkEnd w:id="108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Datos</w:t>
            </w:r>
            <w:r>
              <w:rPr/>
              <w:t xml:space="preserve"> </w:t>
            </w:r>
            <w:bookmarkStart w:id="109" w:name="TBL-1-18-2"/>
            <w:bookmarkEnd w:id="109"/>
          </w:p>
        </w:tc>
        <w:tc>
          <w:tcPr>
            <w:tcW w:w="8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El desempeño del modelo depende de la calidad y representatividad del conjunto de datos. Los resultados no deben generalizarse sin validación clínica externa. </w:t>
            </w:r>
            <w:bookmarkStart w:id="110" w:name="TBL-1-19-"/>
            <w:bookmarkStart w:id="111" w:name="TBL-1-19-1"/>
            <w:bookmarkEnd w:id="110"/>
            <w:bookmarkEnd w:id="111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Tiempo y</w:t>
            </w:r>
            <w:r>
              <w:rPr/>
              <w:t xml:space="preserve"> </w:t>
            </w:r>
            <w:r>
              <w:rPr>
                <w:b/>
              </w:rPr>
              <w:t>recursos</w:t>
            </w:r>
            <w:r>
              <w:rPr/>
              <w:t xml:space="preserve"> </w:t>
            </w:r>
            <w:bookmarkStart w:id="112" w:name="TBL-1-19-2"/>
            <w:bookmarkEnd w:id="112"/>
          </w:p>
        </w:tc>
        <w:tc>
          <w:tcPr>
            <w:tcW w:w="8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El desarrollo se realiza en un contexto académico con un equipo limitado; las pruebas de campo, publicación en tiendas y operación 24/7 requieren recursos adicionales. </w:t>
            </w:r>
            <w:bookmarkStart w:id="113" w:name="TBL-1-20-"/>
            <w:bookmarkStart w:id="114" w:name="TBL-1-20-1"/>
            <w:bookmarkEnd w:id="113"/>
            <w:bookmarkEnd w:id="114"/>
          </w:p>
        </w:tc>
      </w:tr>
      <w:tr>
        <w:trPr/>
        <w:tc>
          <w:tcPr>
            <w:tcW w:w="10539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115" w:name="TBL-1-21-"/>
            <w:bookmarkStart w:id="116" w:name="TBL-1-21-1"/>
            <w:bookmarkStart w:id="117" w:name="TBL-1-21-"/>
            <w:bookmarkStart w:id="118" w:name="TBL-1-21-1"/>
            <w:bookmarkEnd w:id="117"/>
            <w:bookmarkEnd w:id="118"/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119" w:name="TBL-1-22-"/>
            <w:bookmarkStart w:id="120" w:name="TBL-1-22-1"/>
            <w:bookmarkStart w:id="121" w:name="TBL-1-22-"/>
            <w:bookmarkStart w:id="122" w:name="TBL-1-22-1"/>
            <w:bookmarkEnd w:id="121"/>
            <w:bookmarkEnd w:id="122"/>
          </w:p>
        </w:tc>
        <w:tc>
          <w:tcPr>
            <w:tcW w:w="8452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123" w:name="TBL-1-23-"/>
            <w:bookmarkStart w:id="124" w:name="TBL-1-23-1"/>
            <w:bookmarkStart w:id="125" w:name="TBL-1-23-"/>
            <w:bookmarkStart w:id="126" w:name="TBL-1-23-1"/>
            <w:bookmarkEnd w:id="125"/>
            <w:bookmarkEnd w:id="126"/>
          </w:p>
        </w:tc>
        <w:tc>
          <w:tcPr>
            <w:tcW w:w="8452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127" w:name="TBL-1-24-"/>
            <w:bookmarkStart w:id="128" w:name="TBL-1-24-1"/>
            <w:bookmarkStart w:id="129" w:name="TBL-1-24-"/>
            <w:bookmarkStart w:id="130" w:name="TBL-1-24-1"/>
            <w:bookmarkEnd w:id="129"/>
            <w:bookmarkEnd w:id="130"/>
          </w:p>
        </w:tc>
        <w:tc>
          <w:tcPr>
            <w:tcW w:w="8452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131" w:name="TBL-1-25-"/>
            <w:bookmarkStart w:id="132" w:name="TBL-1-25-1"/>
            <w:bookmarkStart w:id="133" w:name="TBL-1-25-"/>
            <w:bookmarkStart w:id="134" w:name="TBL-1-25-1"/>
            <w:bookmarkEnd w:id="133"/>
            <w:bookmarkEnd w:id="134"/>
          </w:p>
        </w:tc>
        <w:tc>
          <w:tcPr>
            <w:tcW w:w="8452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52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r>
        <w:rPr/>
        <w:t xml:space="preserve">2.4 </w:t>
      </w:r>
      <w:bookmarkStart w:id="135" w:name="x1-190002.4"/>
      <w:bookmarkEnd w:id="135"/>
      <w:r>
        <w:rPr/>
        <w:t>Objetivo general</w:t>
      </w:r>
    </w:p>
    <w:p>
      <w:pPr>
        <w:pStyle w:val="BodyText"/>
        <w:bidi w:val="0"/>
        <w:jc w:val="start"/>
        <w:rPr/>
      </w:pPr>
      <w:r>
        <w:rPr/>
        <w:t xml:space="preserve">Desarrollar e integrar una aplicación móvil complementaria a la plataforma web PREDIA que proporcione al paciente herramientas de consulta y automonitoreo, y al médico una experiencia de atención clínica en movilidad, mediante acceso seguro a la información, captura rápida de datos y aprovechamiento de capacidades nativas del dispositivo, manteniendo consistencia con el expediente clínico central y apoyo explicable a la toma de decisiones. 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2.5 </w:t>
      </w:r>
      <w:bookmarkStart w:id="136" w:name="x1-200002.5"/>
      <w:bookmarkEnd w:id="136"/>
      <w:r>
        <w:rPr/>
        <w:t>Objetivos específicos</w:t>
      </w:r>
    </w:p>
    <w:p>
      <w:pPr>
        <w:pStyle w:val="ListHeading"/>
        <w:bidi w:val="0"/>
        <w:ind w:hanging="0" w:start="0" w:end="0"/>
        <w:jc w:val="start"/>
        <w:rPr/>
      </w:pPr>
      <w:r>
        <w:rPr>
          <w:b/>
        </w:rPr>
        <w:t>OE1.</w:t>
      </w:r>
      <w:r>
        <w:rPr/>
        <w:t xml:space="preserve"> </w:t>
      </w:r>
    </w:p>
    <w:p>
      <w:pPr>
        <w:pStyle w:val="ListContents"/>
        <w:bidi w:val="0"/>
        <w:jc w:val="start"/>
        <w:rPr/>
      </w:pPr>
      <w:r>
        <w:rPr/>
        <w:t xml:space="preserve">Diseñar una arquitectura móvil por roles que reutilice la API REST, autenticación y modelo de datos existentes de PREDIA. </w:t>
      </w:r>
    </w:p>
    <w:p>
      <w:pPr>
        <w:pStyle w:val="ListHeading"/>
        <w:bidi w:val="0"/>
        <w:ind w:hanging="0" w:start="0" w:end="0"/>
        <w:jc w:val="start"/>
        <w:rPr/>
      </w:pPr>
      <w:r>
        <w:rPr>
          <w:b/>
        </w:rPr>
        <w:t>OE2.</w:t>
      </w:r>
      <w:r>
        <w:rPr/>
        <w:t xml:space="preserve"> </w:t>
      </w:r>
    </w:p>
    <w:p>
      <w:pPr>
        <w:pStyle w:val="ListContents"/>
        <w:bidi w:val="0"/>
        <w:jc w:val="start"/>
        <w:rPr/>
      </w:pPr>
      <w:r>
        <w:rPr/>
        <w:t xml:space="preserve">Implementar autenticación para paciente y médico, almacenamiento seguro de sesión y soporte para desbloqueo biométrico en dispositivos compatibles. </w:t>
      </w:r>
    </w:p>
    <w:p>
      <w:pPr>
        <w:pStyle w:val="ListHeading"/>
        <w:bidi w:val="0"/>
        <w:ind w:hanging="0" w:start="0" w:end="0"/>
        <w:jc w:val="start"/>
        <w:rPr/>
      </w:pPr>
      <w:r>
        <w:rPr>
          <w:b/>
        </w:rPr>
        <w:t>OE3.</w:t>
      </w:r>
      <w:r>
        <w:rPr/>
        <w:t xml:space="preserve"> </w:t>
      </w:r>
    </w:p>
    <w:p>
      <w:pPr>
        <w:pStyle w:val="ListContents"/>
        <w:bidi w:val="0"/>
        <w:jc w:val="start"/>
        <w:rPr/>
      </w:pPr>
      <w:r>
        <w:rPr/>
        <w:t xml:space="preserve">Proporcionar al paciente acceso a su resumen de salud, expediente, recetas, citas, resultados de riesgo, automonitoreo y tendencias. </w:t>
      </w:r>
    </w:p>
    <w:p>
      <w:pPr>
        <w:pStyle w:val="ListHeading"/>
        <w:bidi w:val="0"/>
        <w:ind w:hanging="0" w:start="0" w:end="0"/>
        <w:jc w:val="start"/>
        <w:rPr/>
      </w:pPr>
      <w:r>
        <w:rPr>
          <w:b/>
        </w:rPr>
        <w:t>OE4.</w:t>
      </w:r>
      <w:r>
        <w:rPr/>
        <w:t xml:space="preserve"> </w:t>
      </w:r>
    </w:p>
    <w:p>
      <w:pPr>
        <w:pStyle w:val="ListContents"/>
        <w:bidi w:val="0"/>
        <w:jc w:val="start"/>
        <w:rPr/>
      </w:pPr>
      <w:r>
        <w:rPr/>
        <w:t xml:space="preserve">Optimizar el flujo del médico mediante agenda diaria, búsqueda de pacientes, resumen clínico y alertas prioritarias accesibles en un máximo de dos interacciones principales. </w:t>
      </w:r>
    </w:p>
    <w:p>
      <w:pPr>
        <w:pStyle w:val="ListHeading"/>
        <w:bidi w:val="0"/>
        <w:ind w:hanging="0" w:start="0" w:end="0"/>
        <w:jc w:val="start"/>
        <w:rPr/>
      </w:pPr>
      <w:r>
        <w:rPr>
          <w:b/>
        </w:rPr>
        <w:t>OE5.</w:t>
      </w:r>
      <w:r>
        <w:rPr/>
        <w:t xml:space="preserve"> </w:t>
      </w:r>
    </w:p>
    <w:p>
      <w:pPr>
        <w:pStyle w:val="ListContents"/>
        <w:bidi w:val="0"/>
        <w:jc w:val="start"/>
        <w:rPr/>
      </w:pPr>
      <w:r>
        <w:rPr/>
        <w:t xml:space="preserve">Implementar el registro móvil de signos vitales con validación de rangos y persistencia inmediata en el backend. </w:t>
      </w:r>
    </w:p>
    <w:p>
      <w:pPr>
        <w:pStyle w:val="ListHeading"/>
        <w:bidi w:val="0"/>
        <w:ind w:hanging="0" w:start="0" w:end="0"/>
        <w:jc w:val="start"/>
        <w:rPr/>
      </w:pPr>
      <w:r>
        <w:rPr>
          <w:b/>
        </w:rPr>
        <w:t>OE6.</w:t>
      </w:r>
      <w:r>
        <w:rPr/>
        <w:t xml:space="preserve"> </w:t>
      </w:r>
    </w:p>
    <w:p>
      <w:pPr>
        <w:pStyle w:val="ListContents"/>
        <w:bidi w:val="0"/>
        <w:jc w:val="start"/>
        <w:rPr/>
      </w:pPr>
      <w:r>
        <w:rPr/>
        <w:t xml:space="preserve">Incorporar micrófono y cámara para dictado de notas y captura de evidencia clínica asociada al expediente. </w:t>
      </w:r>
    </w:p>
    <w:p>
      <w:pPr>
        <w:pStyle w:val="ListHeading"/>
        <w:bidi w:val="0"/>
        <w:ind w:hanging="0" w:start="0" w:end="0"/>
        <w:jc w:val="start"/>
        <w:rPr/>
      </w:pPr>
      <w:r>
        <w:rPr>
          <w:b/>
        </w:rPr>
        <w:t>OE7.</w:t>
      </w:r>
      <w:r>
        <w:rPr/>
        <w:t xml:space="preserve"> </w:t>
      </w:r>
    </w:p>
    <w:p>
      <w:pPr>
        <w:pStyle w:val="ListContents"/>
        <w:bidi w:val="0"/>
        <w:jc w:val="start"/>
        <w:rPr/>
      </w:pPr>
      <w:r>
        <w:rPr/>
        <w:t xml:space="preserve">Permitir la revisión y validación médica de resultados generados por IA, mostrando niveles de riesgo, factores relacionados y recomendaciones comprensibles. </w:t>
      </w:r>
    </w:p>
    <w:p>
      <w:pPr>
        <w:pStyle w:val="ListHeading"/>
        <w:bidi w:val="0"/>
        <w:ind w:hanging="0" w:start="0" w:end="0"/>
        <w:jc w:val="start"/>
        <w:rPr/>
      </w:pPr>
      <w:r>
        <w:rPr>
          <w:b/>
        </w:rPr>
        <w:t>OE8.</w:t>
      </w:r>
      <w:r>
        <w:rPr/>
        <w:t xml:space="preserve"> </w:t>
      </w:r>
    </w:p>
    <w:p>
      <w:pPr>
        <w:pStyle w:val="ListContents"/>
        <w:bidi w:val="0"/>
        <w:jc w:val="start"/>
        <w:rPr/>
      </w:pPr>
      <w:r>
        <w:rPr/>
        <w:t xml:space="preserve">Integrar un flujo de firma de recetas respaldado por autenticación biométrica y trazabilidad de la acción. </w:t>
      </w:r>
    </w:p>
    <w:p>
      <w:pPr>
        <w:pStyle w:val="ListHeading"/>
        <w:bidi w:val="0"/>
        <w:ind w:hanging="0" w:start="0" w:end="0"/>
        <w:jc w:val="start"/>
        <w:rPr/>
      </w:pPr>
      <w:r>
        <w:rPr>
          <w:b/>
        </w:rPr>
        <w:t>OE9.</w:t>
      </w:r>
      <w:r>
        <w:rPr/>
        <w:t xml:space="preserve"> </w:t>
      </w:r>
    </w:p>
    <w:p>
      <w:pPr>
        <w:pStyle w:val="ListContents"/>
        <w:bidi w:val="0"/>
        <w:jc w:val="start"/>
        <w:rPr/>
      </w:pPr>
      <w:r>
        <w:rPr/>
        <w:t xml:space="preserve">Aplicar criterios de usabilidad y accesibilidad móvil, con controles táctiles legibles, estados de carga y error, y contraste adecuado. </w:t>
      </w:r>
    </w:p>
    <w:p>
      <w:pPr>
        <w:pStyle w:val="ListHeading"/>
        <w:bidi w:val="0"/>
        <w:ind w:hanging="0" w:start="0" w:end="0"/>
        <w:jc w:val="start"/>
        <w:rPr/>
      </w:pPr>
      <w:r>
        <w:rPr>
          <w:b/>
        </w:rPr>
        <w:t>OE10.</w:t>
      </w:r>
      <w:r>
        <w:rPr/>
        <w:t xml:space="preserve"> </w:t>
      </w:r>
    </w:p>
    <w:p>
      <w:pPr>
        <w:pStyle w:val="ListContents"/>
        <w:bidi w:val="0"/>
        <w:spacing w:before="0" w:after="283"/>
        <w:jc w:val="start"/>
        <w:rPr/>
      </w:pPr>
      <w:r>
        <w:rPr/>
        <w:t>Validar la integración mediante pruebas de navegación, consumo de endpoints y persistencia de información clínica, documentando limitaciones y trabajo pendiente.</w:t>
      </w:r>
    </w:p>
    <w:p>
      <w:pPr>
        <w:pStyle w:val="Heading2"/>
        <w:bidi w:val="0"/>
        <w:ind w:hanging="0" w:start="0" w:end="0"/>
        <w:jc w:val="start"/>
        <w:rPr/>
      </w:pPr>
      <w:r>
        <w:rPr/>
        <w:t>Capítulo 3</w:t>
        <w:br/>
      </w:r>
      <w:bookmarkStart w:id="137" w:name="x1-210003"/>
      <w:bookmarkEnd w:id="137"/>
      <w:r>
        <w:rPr/>
        <w:t>Desarrollo de las etapas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3.1 </w:t>
      </w:r>
      <w:bookmarkStart w:id="138" w:name="x1-220003.1"/>
      <w:bookmarkEnd w:id="138"/>
      <w:r>
        <w:rPr/>
        <w:t>Primera etapa del proyecto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3.1.1 </w:t>
      </w:r>
      <w:bookmarkStart w:id="139" w:name="x1-230003.1.1"/>
      <w:bookmarkEnd w:id="139"/>
      <w:r>
        <w:rPr/>
        <w:t>Análisis de la solución existente</w:t>
      </w:r>
    </w:p>
    <w:p>
      <w:pPr>
        <w:pStyle w:val="BodyText"/>
        <w:bidi w:val="0"/>
        <w:jc w:val="start"/>
        <w:rPr/>
      </w:pPr>
      <w:r>
        <w:rPr/>
        <w:t xml:space="preserve">La primera etapa inició con la revisión funcional de la plataforma web para identificar qué capacidades podían reutilizarse y cuáles requerían una experiencia móvil específica. Se analizaron autenticación, dashboard, agenda, pacientes, expedientes, consultas, recetas, mediciones y predicciones. El resultado confirmó que la web debía mantenerse como núcleo administrativo y clínico, mientras que la aplicación móvil debía centrarse en tareas breves y frecuentes. </w:t>
      </w:r>
    </w:p>
    <w:p>
      <w:pPr>
        <w:pStyle w:val="BodyTextindent"/>
        <w:bidi w:val="0"/>
        <w:jc w:val="start"/>
        <w:rPr/>
      </w:pPr>
      <w:r>
        <w:rPr/>
        <w:t xml:space="preserve">Se documentó la diferencia entre ambos canales. La web está orientada a sesiones prolongadas, captura extensa y administración; la app móvil se enfoca en movimiento, consulta inmediata, automonitoreo, notificaciones y hardware del dispositivo. Esta decisión evitó construir una copia reducida del sitio web. 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3.1.2 </w:t>
      </w:r>
      <w:bookmarkStart w:id="140" w:name="x1-240003.1.2"/>
      <w:bookmarkEnd w:id="140"/>
      <w:r>
        <w:rPr/>
        <w:t>Definición de roles y requisitos</w:t>
      </w:r>
    </w:p>
    <w:p>
      <w:pPr>
        <w:pStyle w:val="BodyText"/>
        <w:bidi w:val="0"/>
        <w:jc w:val="start"/>
        <w:rPr/>
      </w:pPr>
      <w:r>
        <w:rPr/>
        <w:t xml:space="preserve">Se establecieron dos perfiles. El paciente requiere autogestión y consulta controlada; el médico requiere ronda clínica móvil. A partir de estos perfiles se consolidaron RF01 a RF17 y RNF01 a RNF07. Las prioridades altas se asignaron a autenticación, dashboard, expediente, recetas, citas, automonitoreo, agenda, resumen clínico, signos vitales, validación de IA, alertas y firma.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41" w:name="x1-24001r1"/>
      <w:bookmarkEnd w:id="141"/>
      <w:r>
        <w:rPr/>
        <w:t xml:space="preserve">Cuadro 3.1: Resumen de requisitos priorizados en la primera etapa. </w:t>
      </w:r>
    </w:p>
    <w:p>
      <w:pPr>
        <w:pStyle w:val="Normal"/>
        <w:bidi w:val="0"/>
        <w:spacing w:before="0" w:after="0"/>
        <w:jc w:val="start"/>
        <w:rPr>
          <w:sz w:val="4"/>
          <w:szCs w:val="4"/>
        </w:rPr>
      </w:pPr>
      <w:r>
        <w:rPr>
          <w:sz w:val="4"/>
          <w:szCs w:val="4"/>
        </w:rPr>
      </w:r>
      <w:bookmarkStart w:id="142" w:name="TBL-4"/>
      <w:bookmarkStart w:id="143" w:name="TBL-4-1g"/>
      <w:bookmarkStart w:id="144" w:name="TBL-4-1"/>
      <w:bookmarkStart w:id="145" w:name="TBL-4-2"/>
      <w:bookmarkStart w:id="146" w:name="TBL-4-3"/>
      <w:bookmarkStart w:id="147" w:name="TBL-4-1-"/>
      <w:bookmarkStart w:id="148" w:name="TBL-4"/>
      <w:bookmarkStart w:id="149" w:name="TBL-4-1g"/>
      <w:bookmarkStart w:id="150" w:name="TBL-4-1"/>
      <w:bookmarkStart w:id="151" w:name="TBL-4-2"/>
      <w:bookmarkStart w:id="152" w:name="TBL-4-3"/>
      <w:bookmarkStart w:id="153" w:name="TBL-4-1-"/>
      <w:bookmarkEnd w:id="148"/>
      <w:bookmarkEnd w:id="149"/>
      <w:bookmarkEnd w:id="150"/>
      <w:bookmarkEnd w:id="151"/>
      <w:bookmarkEnd w:id="152"/>
      <w:bookmarkEnd w:id="153"/>
    </w:p>
    <w:tbl>
      <w:tblPr>
        <w:tblW w:w="104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96"/>
        <w:gridCol w:w="7801"/>
        <w:gridCol w:w="1276"/>
      </w:tblGrid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bookmarkStart w:id="154" w:name="TBL-4-1-1"/>
            <w:bookmarkEnd w:id="154"/>
            <w:r>
              <w:rPr>
                <w:b/>
              </w:rPr>
              <w:t>Rol</w:t>
            </w:r>
            <w:r>
              <w:rPr/>
              <w:t xml:space="preserve"> </w:t>
            </w:r>
            <w:bookmarkStart w:id="155" w:name="TBL-4-1-2"/>
            <w:bookmarkEnd w:id="155"/>
          </w:p>
        </w:tc>
        <w:tc>
          <w:tcPr>
            <w:tcW w:w="7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Capacidades prioritarias </w:t>
            </w:r>
            <w:bookmarkStart w:id="156" w:name="TBL-4-1-3"/>
            <w:bookmarkEnd w:id="156"/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Prioridad </w:t>
            </w:r>
            <w:bookmarkStart w:id="157" w:name="TBL-4-2-"/>
            <w:bookmarkStart w:id="158" w:name="TBL-4-2-1"/>
            <w:bookmarkEnd w:id="157"/>
            <w:bookmarkEnd w:id="158"/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Paciente</w:t>
            </w:r>
            <w:r>
              <w:rPr/>
              <w:t xml:space="preserve"> </w:t>
            </w:r>
            <w:bookmarkStart w:id="159" w:name="TBL-4-2-2"/>
            <w:bookmarkEnd w:id="159"/>
          </w:p>
        </w:tc>
        <w:tc>
          <w:tcPr>
            <w:tcW w:w="7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Login, resumen de salud, riesgo, expediente, recetas, citas y automonitoreo. </w:t>
            </w:r>
            <w:bookmarkStart w:id="160" w:name="TBL-4-2-3"/>
            <w:bookmarkEnd w:id="160"/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Alta </w:t>
            </w:r>
            <w:bookmarkStart w:id="161" w:name="TBL-4-3-"/>
            <w:bookmarkStart w:id="162" w:name="TBL-4-3-1"/>
            <w:bookmarkEnd w:id="161"/>
            <w:bookmarkEnd w:id="162"/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Médico</w:t>
            </w:r>
            <w:r>
              <w:rPr/>
              <w:t xml:space="preserve"> </w:t>
            </w:r>
            <w:bookmarkStart w:id="163" w:name="TBL-4-3-2"/>
            <w:bookmarkEnd w:id="163"/>
          </w:p>
        </w:tc>
        <w:tc>
          <w:tcPr>
            <w:tcW w:w="7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Login, agenda, resumen clínico, signos vitales, validación de IA, alertas y firma. </w:t>
            </w:r>
            <w:bookmarkStart w:id="164" w:name="TBL-4-3-3"/>
            <w:bookmarkEnd w:id="164"/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Alta </w:t>
            </w:r>
            <w:bookmarkStart w:id="165" w:name="TBL-4-4-"/>
            <w:bookmarkStart w:id="166" w:name="TBL-4-4-1"/>
            <w:bookmarkEnd w:id="165"/>
            <w:bookmarkEnd w:id="166"/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Transversal</w:t>
            </w:r>
            <w:r>
              <w:rPr/>
              <w:t xml:space="preserve"> </w:t>
            </w:r>
            <w:bookmarkStart w:id="167" w:name="TBL-4-4-2"/>
            <w:bookmarkEnd w:id="167"/>
          </w:p>
        </w:tc>
        <w:tc>
          <w:tcPr>
            <w:tcW w:w="7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Seguridad, usabilidad, rendimiento, accesibilidad y base para modo offline. </w:t>
            </w:r>
            <w:bookmarkStart w:id="168" w:name="TBL-4-4-3"/>
            <w:bookmarkEnd w:id="168"/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Alta/Media </w:t>
            </w:r>
            <w:bookmarkStart w:id="169" w:name="TBL-4-5-"/>
            <w:bookmarkStart w:id="170" w:name="TBL-4-5-1"/>
            <w:bookmarkEnd w:id="169"/>
            <w:bookmarkEnd w:id="170"/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077" w:type="dxa"/>
            <w:gridSpan w:val="2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3.1.3 </w:t>
      </w:r>
      <w:bookmarkStart w:id="171" w:name="x1-250003.1.3"/>
      <w:bookmarkEnd w:id="171"/>
      <w:r>
        <w:rPr/>
        <w:t>Arquitectura tecnológica</w:t>
      </w:r>
    </w:p>
    <w:p>
      <w:pPr>
        <w:pStyle w:val="BodyText"/>
        <w:bidi w:val="0"/>
        <w:jc w:val="start"/>
        <w:rPr/>
      </w:pPr>
      <w:r>
        <w:rPr/>
        <w:t xml:space="preserve">La arquitectura seleccionada utiliza React Native con Expo para compartir una base de código entre plataformas. React Navigation organiza flujos por rol; Zustand administra sesión; TanStack Query controla obtención, caché e invalidación de datos; SecureStore protege credenciales nativas; expo-local-authentication habilita biometría; expo-camera administra fotografías y expo-audio permite captura de voz. </w:t>
      </w:r>
    </w:p>
    <w:p>
      <w:pPr>
        <w:pStyle w:val="BodyTextindent"/>
        <w:bidi w:val="0"/>
        <w:jc w:val="start"/>
        <w:rPr/>
      </w:pPr>
      <w:r>
        <w:rPr/>
        <w:t xml:space="preserve">La aplicación consume los endpoints existentes de Next.js. Para la integración desde entornos de desarrollo móvil se definieron variables de URL de API y políticas CORS. La persistencia continúa en MySQL mediante los servicios del backend, por lo que web y móvil leen la misma información clínica. 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3.1.4 </w:t>
      </w:r>
      <w:bookmarkStart w:id="172" w:name="x1-260003.1.4"/>
      <w:bookmarkEnd w:id="172"/>
      <w:r>
        <w:rPr/>
        <w:t>Diseño de interfaces y navegación</w:t>
      </w:r>
    </w:p>
    <w:p>
      <w:pPr>
        <w:pStyle w:val="BodyText"/>
        <w:bidi w:val="0"/>
        <w:jc w:val="start"/>
        <w:rPr/>
      </w:pPr>
      <w:r>
        <w:rPr/>
        <w:t xml:space="preserve">Se definieron mapas de interfaz por rol. El médico dispone de cinco pestañas inferiores: Inicio, Agenda, Pacientes, Alertas y Perfil. Desde el detalle del paciente se accede a signos vitales, nueva consulta por dictado, fotografía clínica, validación de IA y receta. El paciente dispone de una navegación centrada en su dashboard, expediente, recetas, citas, automonitoreo y tendencias. </w:t>
      </w:r>
    </w:p>
    <w:p>
      <w:pPr>
        <w:pStyle w:val="BodyTextindent"/>
        <w:bidi w:val="0"/>
        <w:jc w:val="start"/>
        <w:rPr/>
      </w:pPr>
      <w:r>
        <w:rPr/>
        <w:t xml:space="preserve">Los criterios de diseño priorizaron jerarquía, contraste, lectura rápida y objetivos táctiles amplios. Las alertas y niveles de riesgo se comunican mediante etiquetas clínicas Bajo, Moderado, Alto y Muy Alto, evitando que una probabilidad numérica aislada sea interpretada como diagnóstico. 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3.1.5 </w:t>
      </w:r>
      <w:bookmarkStart w:id="173" w:name="x1-270003.1.5"/>
      <w:bookmarkEnd w:id="173"/>
      <w:r>
        <w:rPr/>
        <w:t>Entregables de la primera etapa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Matriz de problemas, usuarios y propuesta de valor móvil.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Objetivo general y objetivos específicos de la ampliación.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Requisitos funcionales RF01–RF17 y no funcionales RNF01–RNF07.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Diagrama de interfaces para paciente y médico.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Diagramas de actividades para autenticación, consulta, captura y validación.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Propuesta de ajuste al modelo relacional para automonitoreo y autenticación del paciente.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Selección del stack React Native + Expo y librerías nativas.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Diseño inicial de navegación y mockups de las pantallas principales.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3.2 </w:t>
      </w:r>
      <w:bookmarkStart w:id="174" w:name="x1-280003.2"/>
      <w:bookmarkEnd w:id="174"/>
      <w:r>
        <w:rPr/>
        <w:t>Segunda etapa del proyecto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3.2.1 </w:t>
      </w:r>
      <w:bookmarkStart w:id="175" w:name="x1-290003.2.1"/>
      <w:bookmarkEnd w:id="175"/>
      <w:r>
        <w:rPr/>
        <w:t>Construcción del proyecto móvil</w:t>
      </w:r>
    </w:p>
    <w:p>
      <w:pPr>
        <w:pStyle w:val="BodyText"/>
        <w:bidi w:val="0"/>
        <w:jc w:val="start"/>
        <w:rPr/>
      </w:pPr>
      <w:r>
        <w:rPr/>
        <w:t xml:space="preserve">En la segunda etapa se creó la aplicación Expo dentro del repositorio de PREDIA. Se configuraron TypeScript, alias de importación, React Navigation, TanStack Query y Zustand. También se establecieron recursos de aplicación, permisos para cámara y micrófono, iconografía y configuración para Android, iOS y web. </w:t>
      </w:r>
    </w:p>
    <w:p>
      <w:pPr>
        <w:pStyle w:val="BodyTextindent"/>
        <w:bidi w:val="0"/>
        <w:jc w:val="start"/>
        <w:rPr/>
      </w:pPr>
      <w:r>
        <w:rPr/>
        <w:t xml:space="preserve">La aplicación comparte tipos y contratos con el proyecto principal cuando resulta viable, pero conserva componentes y pantallas propios para mantener una experiencia móvil. Los componentes reutilizables incluyen pantalla segura, encabezados, tarjetas, filas táctiles, estados vacíos, skeletons, avatares, indicadores de riesgo y botones de acción. 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3.2.2 </w:t>
      </w:r>
      <w:bookmarkStart w:id="176" w:name="x1-300003.2.2"/>
      <w:bookmarkEnd w:id="176"/>
      <w:r>
        <w:rPr/>
        <w:t>Integración de autenticación</w:t>
      </w:r>
    </w:p>
    <w:p>
      <w:pPr>
        <w:pStyle w:val="BodyText"/>
        <w:bidi w:val="0"/>
        <w:jc w:val="start"/>
        <w:rPr/>
      </w:pPr>
      <w:r>
        <w:rPr/>
        <w:t xml:space="preserve">Se implementó login diferenciado para médico y paciente. El médico utiliza las credenciales existentes de la plataforma; el paciente utiliza el flujo de identidad definido para la aplicación. En iOS y Android, la sesión se almacena mediante SecureStore y puede quedar pendiente de desbloqueo biométrico. En Expo Web se utiliza almacenamiento local como mecanismo de compatibilidad del prototipo. </w:t>
      </w:r>
    </w:p>
    <w:p>
      <w:pPr>
        <w:pStyle w:val="BodyTextindent"/>
        <w:bidi w:val="0"/>
        <w:jc w:val="start"/>
        <w:rPr/>
      </w:pPr>
      <w:r>
        <w:rPr/>
        <w:t xml:space="preserve">La integración requirió habilitar preflight y encabezados CORS en la API para permitir consumo desde el servidor de desarrollo móvil. Además, se conserva un timeout de sesión como requisito de seguridad y se evita exponer datos clínicos antes de restaurar o validar la identidad. 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3.2.3 </w:t>
      </w:r>
      <w:bookmarkStart w:id="177" w:name="x1-310003.2.3"/>
      <w:bookmarkEnd w:id="177"/>
      <w:r>
        <w:rPr/>
        <w:t>Flujo del médico</w:t>
      </w:r>
    </w:p>
    <w:p>
      <w:pPr>
        <w:pStyle w:val="BodyText"/>
        <w:bidi w:val="0"/>
        <w:jc w:val="start"/>
        <w:rPr/>
      </w:pPr>
      <w:r>
        <w:rPr/>
        <w:t xml:space="preserve">El dashboard médico muestra citas del día, total de pacientes, alertas de alto riesgo y accesos rápidos. La agenda organiza citas próximas y permite abrir el paciente asociado. El directorio de pacientes incorpora búsqueda y acceso al resumen clínico. </w:t>
      </w:r>
    </w:p>
    <w:p>
      <w:pPr>
        <w:pStyle w:val="BodyTextindent"/>
        <w:bidi w:val="0"/>
        <w:jc w:val="start"/>
        <w:rPr/>
      </w:pPr>
      <w:r>
        <w:rPr/>
        <w:t xml:space="preserve">La vista de paciente concentra datos básicos, contacto, riesgo, alergias, últimos signos, consultas y recetas. Desde ahí se puede llamar, abrir WhatsApp, registrar una nueva medición, iniciar una consulta por dictado, tomar una fotografía y generar una receta. Esta estructura reduce la navegación entre módulos independientes. </w:t>
      </w:r>
    </w:p>
    <w:p>
      <w:pPr>
        <w:pStyle w:val="BodyTextindent"/>
        <w:bidi w:val="0"/>
        <w:jc w:val="start"/>
        <w:rPr/>
      </w:pPr>
      <w:r>
        <w:rPr/>
        <w:t xml:space="preserve">Los flujos clínicos conectados incluyen: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Registro de signos vitales y actualización del expediente.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Captura de audio, transcripción y guardado de la nota como consulta clínica.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Captura de fotografía con observaciones para evidencia clínica.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Revisión del nivel de riesgo, validación y registro de observaciones médicas.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Firma de receta con biometría cuando exista hardware compatible y alternativa controlada para demostración.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3.2.4 </w:t>
      </w:r>
      <w:bookmarkStart w:id="178" w:name="x1-320003.2.4"/>
      <w:bookmarkEnd w:id="178"/>
      <w:r>
        <w:rPr/>
        <w:t>Flujo del paciente</w:t>
      </w:r>
    </w:p>
    <w:p>
      <w:pPr>
        <w:pStyle w:val="BodyText"/>
        <w:bidi w:val="0"/>
        <w:jc w:val="start"/>
        <w:rPr/>
      </w:pPr>
      <w:r>
        <w:rPr/>
        <w:t xml:space="preserve">Se construyó la base del portal móvil del paciente con pantallas de dashboard, expediente, recetas, citas, resultados, automonitoreo y tendencias. El dashboard presenta próxima cita, nivel de riesgo, indicadores y accesos frecuentes. El expediente se mantiene en modo de lectura para proteger la integridad de registros clínicos emitidos por profesionales. </w:t>
      </w:r>
    </w:p>
    <w:p>
      <w:pPr>
        <w:pStyle w:val="BodyTextindent"/>
        <w:bidi w:val="0"/>
        <w:jc w:val="start"/>
        <w:rPr/>
      </w:pPr>
      <w:r>
        <w:rPr/>
        <w:t xml:space="preserve">El módulo de automonitoreo permite capturar glucosa, peso y presión; las tendencias organizan los datos en periodos para facilitar la lectura de evolución. Los objetivos de salud sirven como referencia visual y deben ser configurados o validados por el médico, no interpretados como prescripción automática. 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3.2.5 </w:t>
      </w:r>
      <w:bookmarkStart w:id="179" w:name="x1-330003.2.5"/>
      <w:bookmarkEnd w:id="179"/>
      <w:r>
        <w:rPr/>
        <w:t>Pruebas realizadas</w:t>
      </w:r>
    </w:p>
    <w:p>
      <w:pPr>
        <w:pStyle w:val="BodyText"/>
        <w:bidi w:val="0"/>
        <w:jc w:val="start"/>
        <w:rPr/>
      </w:pPr>
      <w:r>
        <w:rPr/>
        <w:t xml:space="preserve">La integración se verificó mediante compilación TypeScript y navegación automatizada en Expo Web con viewport móvil. Se probaron login, dashboard médico, agenda, pacientes, expediente, alertas y perfil, consumiendo datos reales de la API local. La prueba no reportó solicitudes fallidas ni excepciones JavaScript en el recorrido principal. </w:t>
      </w:r>
    </w:p>
    <w:p>
      <w:pPr>
        <w:pStyle w:val="BodyTextindent"/>
        <w:bidi w:val="0"/>
        <w:jc w:val="start"/>
        <w:rPr/>
      </w:pPr>
      <w:r>
        <w:rPr/>
        <w:t xml:space="preserve">También se validó el backend local con autenticación, lectura de pacientes y persistencia de consultas. Las pruebas permitieron corregir CORS, restauración de sesión web, compatibilidad de Metro con Node 18, acciones sin comportamiento en perfil, persistencia de notas dictadas y bloqueo de firma en entornos sin biometría. </w:t>
      </w:r>
    </w:p>
    <w:p>
      <w:pPr>
        <w:pStyle w:val="Heading4"/>
        <w:bidi w:val="0"/>
        <w:ind w:hanging="0" w:start="0" w:end="0"/>
        <w:jc w:val="start"/>
        <w:rPr/>
      </w:pPr>
      <w:r>
        <w:rPr/>
        <w:t xml:space="preserve">3.2.6 </w:t>
      </w:r>
      <w:bookmarkStart w:id="180" w:name="x1-340003.2.6"/>
      <w:bookmarkEnd w:id="180"/>
      <w:r>
        <w:rPr/>
        <w:t>Estado de cumplimiento al cierre de la segunda etapa</w:t>
      </w:r>
    </w:p>
    <w:p>
      <w:pPr>
        <w:pStyle w:val="Normal"/>
        <w:bidi w:val="0"/>
        <w:spacing w:before="0" w:after="0"/>
        <w:ind w:hanging="0" w:start="0" w:end="0"/>
        <w:jc w:val="start"/>
        <w:rPr>
          <w:sz w:val="4"/>
          <w:szCs w:val="4"/>
        </w:rPr>
      </w:pPr>
      <w:r>
        <w:rPr>
          <w:sz w:val="4"/>
          <w:szCs w:val="4"/>
        </w:rPr>
      </w:r>
      <w:bookmarkStart w:id="181" w:name="x1-34001r2"/>
      <w:bookmarkStart w:id="182" w:name="TBL-5"/>
      <w:bookmarkStart w:id="183" w:name="TBL-5-1g"/>
      <w:bookmarkStart w:id="184" w:name="TBL-5-1"/>
      <w:bookmarkStart w:id="185" w:name="TBL-5-2"/>
      <w:bookmarkStart w:id="186" w:name="TBL-5-3"/>
      <w:bookmarkStart w:id="187" w:name="TBL-5-1-"/>
      <w:bookmarkStart w:id="188" w:name="x1-34001r2"/>
      <w:bookmarkStart w:id="189" w:name="TBL-5"/>
      <w:bookmarkStart w:id="190" w:name="TBL-5-1g"/>
      <w:bookmarkStart w:id="191" w:name="TBL-5-1"/>
      <w:bookmarkStart w:id="192" w:name="TBL-5-2"/>
      <w:bookmarkStart w:id="193" w:name="TBL-5-3"/>
      <w:bookmarkStart w:id="194" w:name="TBL-5-1-"/>
      <w:bookmarkEnd w:id="188"/>
      <w:bookmarkEnd w:id="189"/>
      <w:bookmarkEnd w:id="190"/>
      <w:bookmarkEnd w:id="191"/>
      <w:bookmarkEnd w:id="192"/>
      <w:bookmarkEnd w:id="193"/>
      <w:bookmarkEnd w:id="194"/>
    </w:p>
    <w:tbl>
      <w:tblPr>
        <w:tblW w:w="105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15"/>
        <w:gridCol w:w="5099"/>
        <w:gridCol w:w="4225"/>
      </w:tblGrid>
      <w:tr>
        <w:trPr/>
        <w:tc>
          <w:tcPr>
            <w:tcW w:w="10539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195" w:name="TBL-5-2-"/>
            <w:bookmarkStart w:id="196" w:name="TBL-5-2-1"/>
            <w:bookmarkStart w:id="197" w:name="TBL-5-1-1"/>
            <w:bookmarkStart w:id="198" w:name="TBL-5-2-"/>
            <w:bookmarkStart w:id="199" w:name="TBL-5-2-1"/>
            <w:bookmarkStart w:id="200" w:name="TBL-5-1-1"/>
            <w:bookmarkEnd w:id="198"/>
            <w:bookmarkEnd w:id="199"/>
            <w:bookmarkEnd w:id="200"/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Grupo</w:t>
            </w:r>
            <w:r>
              <w:rPr/>
              <w:t xml:space="preserve"> </w:t>
            </w:r>
            <w:bookmarkStart w:id="201" w:name="TBL-5-2-2"/>
            <w:bookmarkEnd w:id="201"/>
          </w:p>
        </w:tc>
        <w:tc>
          <w:tcPr>
            <w:tcW w:w="5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Resultado </w:t>
            </w:r>
            <w:bookmarkStart w:id="202" w:name="TBL-5-2-3"/>
            <w:bookmarkEnd w:id="202"/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Estado </w:t>
            </w:r>
            <w:bookmarkStart w:id="203" w:name="TBL-5-3-"/>
            <w:bookmarkStart w:id="204" w:name="TBL-5-3-1"/>
            <w:bookmarkEnd w:id="203"/>
            <w:bookmarkEnd w:id="204"/>
          </w:p>
        </w:tc>
      </w:tr>
      <w:tr>
        <w:trPr/>
        <w:tc>
          <w:tcPr>
            <w:tcW w:w="10539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205" w:name="TBL-5-4-"/>
            <w:bookmarkStart w:id="206" w:name="TBL-5-4-1"/>
            <w:bookmarkStart w:id="207" w:name="TBL-5-4-"/>
            <w:bookmarkStart w:id="208" w:name="TBL-5-4-1"/>
            <w:bookmarkEnd w:id="207"/>
            <w:bookmarkEnd w:id="208"/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209" w:name="TBL-5-5-"/>
            <w:bookmarkStart w:id="210" w:name="TBL-5-5-1"/>
            <w:bookmarkStart w:id="211" w:name="TBL-5-5-"/>
            <w:bookmarkStart w:id="212" w:name="TBL-5-5-1"/>
            <w:bookmarkEnd w:id="211"/>
            <w:bookmarkEnd w:id="212"/>
          </w:p>
        </w:tc>
        <w:tc>
          <w:tcPr>
            <w:tcW w:w="9324" w:type="dxa"/>
            <w:gridSpan w:val="2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213" w:name="TBL-5-5-2"/>
            <w:bookmarkStart w:id="214" w:name="TBL-5-5-2"/>
            <w:bookmarkEnd w:id="214"/>
          </w:p>
        </w:tc>
        <w:tc>
          <w:tcPr>
            <w:tcW w:w="509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215" w:name="TBL-5-5-3"/>
            <w:bookmarkStart w:id="216" w:name="TBL-5-5-3"/>
            <w:bookmarkEnd w:id="216"/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217" w:name="TBL-5-11-"/>
            <w:bookmarkStart w:id="218" w:name="TBL-5-11-1"/>
            <w:bookmarkStart w:id="219" w:name="TBL-5-11-"/>
            <w:bookmarkStart w:id="220" w:name="TBL-5-11-1"/>
            <w:bookmarkEnd w:id="219"/>
            <w:bookmarkEnd w:id="220"/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RF01–RF08</w:t>
            </w:r>
            <w:r>
              <w:rPr/>
              <w:t xml:space="preserve"> </w:t>
            </w:r>
            <w:bookmarkStart w:id="221" w:name="TBL-5-11-2"/>
            <w:bookmarkEnd w:id="221"/>
          </w:p>
        </w:tc>
        <w:tc>
          <w:tcPr>
            <w:tcW w:w="5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Base funcional del portal paciente: acceso, dashboard, expediente, recetas, citas, automonitoreo y tendencias. </w:t>
            </w:r>
            <w:bookmarkStart w:id="222" w:name="TBL-5-11-3"/>
            <w:bookmarkEnd w:id="222"/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Implementado como prototipo integrado; recordatorios push pendientes. </w:t>
            </w:r>
            <w:bookmarkStart w:id="223" w:name="TBL-5-12-"/>
            <w:bookmarkStart w:id="224" w:name="TBL-5-12-1"/>
            <w:bookmarkEnd w:id="223"/>
            <w:bookmarkEnd w:id="224"/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RF09–RF12</w:t>
            </w:r>
            <w:r>
              <w:rPr/>
              <w:t xml:space="preserve"> </w:t>
            </w:r>
            <w:bookmarkStart w:id="225" w:name="TBL-5-12-2"/>
            <w:bookmarkEnd w:id="225"/>
          </w:p>
        </w:tc>
        <w:tc>
          <w:tcPr>
            <w:tcW w:w="5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Login médico, agenda, resumen clínico y captura de signos vitales. </w:t>
            </w:r>
            <w:bookmarkStart w:id="226" w:name="TBL-5-12-3"/>
            <w:bookmarkEnd w:id="226"/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Funcional e integrado con API. </w:t>
            </w:r>
            <w:bookmarkStart w:id="227" w:name="TBL-5-13-"/>
            <w:bookmarkStart w:id="228" w:name="TBL-5-13-1"/>
            <w:bookmarkEnd w:id="227"/>
            <w:bookmarkEnd w:id="228"/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RF13–RF15</w:t>
            </w:r>
            <w:r>
              <w:rPr/>
              <w:t xml:space="preserve"> </w:t>
            </w:r>
            <w:bookmarkStart w:id="229" w:name="TBL-5-13-2"/>
            <w:bookmarkEnd w:id="229"/>
          </w:p>
        </w:tc>
        <w:tc>
          <w:tcPr>
            <w:tcW w:w="5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Dictado, cámara clínica y validación de IA. </w:t>
            </w:r>
            <w:bookmarkStart w:id="230" w:name="TBL-5-13-3"/>
            <w:bookmarkEnd w:id="230"/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Flujo implementado; requiere validación exhaustiva en dispositivo físico. </w:t>
            </w:r>
            <w:bookmarkStart w:id="231" w:name="TBL-5-14-"/>
            <w:bookmarkStart w:id="232" w:name="TBL-5-14-1"/>
            <w:bookmarkEnd w:id="231"/>
            <w:bookmarkEnd w:id="232"/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RF16</w:t>
            </w:r>
            <w:r>
              <w:rPr/>
              <w:t xml:space="preserve"> </w:t>
            </w:r>
            <w:bookmarkStart w:id="233" w:name="TBL-5-14-2"/>
            <w:bookmarkEnd w:id="233"/>
          </w:p>
        </w:tc>
        <w:tc>
          <w:tcPr>
            <w:tcW w:w="5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Alertas críticas. </w:t>
            </w:r>
            <w:bookmarkStart w:id="234" w:name="TBL-5-14-3"/>
            <w:bookmarkEnd w:id="234"/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Módulo visual funcional; push productivo pendiente. </w:t>
            </w:r>
            <w:bookmarkStart w:id="235" w:name="TBL-5-15-"/>
            <w:bookmarkStart w:id="236" w:name="TBL-5-15-1"/>
            <w:bookmarkEnd w:id="235"/>
            <w:bookmarkEnd w:id="236"/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RF17</w:t>
            </w:r>
            <w:r>
              <w:rPr/>
              <w:t xml:space="preserve"> </w:t>
            </w:r>
            <w:bookmarkStart w:id="237" w:name="TBL-5-15-2"/>
            <w:bookmarkEnd w:id="237"/>
          </w:p>
        </w:tc>
        <w:tc>
          <w:tcPr>
            <w:tcW w:w="5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Firma biométrica de recetas. </w:t>
            </w:r>
            <w:bookmarkStart w:id="238" w:name="TBL-5-15-3"/>
            <w:bookmarkEnd w:id="238"/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Flujo base implementado; validación física y firma productiva pendientes. </w:t>
            </w:r>
            <w:bookmarkStart w:id="239" w:name="TBL-5-16-"/>
            <w:bookmarkStart w:id="240" w:name="TBL-5-16-1"/>
            <w:bookmarkEnd w:id="239"/>
            <w:bookmarkEnd w:id="240"/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RNF01/RNF05</w:t>
            </w:r>
            <w:r>
              <w:rPr/>
              <w:t xml:space="preserve"> </w:t>
            </w:r>
            <w:bookmarkStart w:id="241" w:name="TBL-5-16-2"/>
            <w:bookmarkEnd w:id="241"/>
          </w:p>
        </w:tc>
        <w:tc>
          <w:tcPr>
            <w:tcW w:w="5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Rendimiento y usabilidad. </w:t>
            </w:r>
            <w:bookmarkStart w:id="242" w:name="TBL-5-16-3"/>
            <w:bookmarkEnd w:id="242"/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Estados de carga, caché y navegación principal validados. </w:t>
            </w:r>
            <w:bookmarkStart w:id="243" w:name="TBL-5-17-"/>
            <w:bookmarkStart w:id="244" w:name="TBL-5-17-1"/>
            <w:bookmarkEnd w:id="243"/>
            <w:bookmarkEnd w:id="244"/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RNF02</w:t>
            </w:r>
            <w:r>
              <w:rPr/>
              <w:t xml:space="preserve"> </w:t>
            </w:r>
            <w:bookmarkStart w:id="245" w:name="TBL-5-17-2"/>
            <w:bookmarkEnd w:id="245"/>
          </w:p>
        </w:tc>
        <w:tc>
          <w:tcPr>
            <w:tcW w:w="5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Offline. </w:t>
            </w:r>
            <w:bookmarkStart w:id="246" w:name="TBL-5-17-3"/>
            <w:bookmarkEnd w:id="246"/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Caché de consultas disponible; cola offline completa pendiente. </w:t>
            </w:r>
            <w:bookmarkStart w:id="247" w:name="TBL-5-18-"/>
            <w:bookmarkStart w:id="248" w:name="TBL-5-18-1"/>
            <w:bookmarkEnd w:id="247"/>
            <w:bookmarkEnd w:id="248"/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</w:rPr>
              <w:t>RNF03/RNF07</w:t>
            </w:r>
            <w:r>
              <w:rPr/>
              <w:t xml:space="preserve"> </w:t>
            </w:r>
            <w:bookmarkStart w:id="249" w:name="TBL-5-18-2"/>
            <w:bookmarkEnd w:id="249"/>
          </w:p>
        </w:tc>
        <w:tc>
          <w:tcPr>
            <w:tcW w:w="5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Seguridad y accesibilidad. </w:t>
            </w:r>
            <w:bookmarkStart w:id="250" w:name="TBL-5-18-3"/>
            <w:bookmarkEnd w:id="250"/>
          </w:p>
        </w:tc>
        <w:tc>
          <w:tcPr>
            <w:tcW w:w="4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Base implementada; auditoría formal y pruebas con lectores de pantalla pendientes. </w:t>
            </w:r>
            <w:bookmarkStart w:id="251" w:name="TBL-5-19-"/>
            <w:bookmarkStart w:id="252" w:name="TBL-5-19-1"/>
            <w:bookmarkEnd w:id="251"/>
            <w:bookmarkEnd w:id="252"/>
          </w:p>
        </w:tc>
      </w:tr>
      <w:tr>
        <w:trPr/>
        <w:tc>
          <w:tcPr>
            <w:tcW w:w="10539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253" w:name="TBL-5-20-"/>
            <w:bookmarkStart w:id="254" w:name="TBL-5-20-1"/>
            <w:bookmarkStart w:id="255" w:name="TBL-5-20-"/>
            <w:bookmarkStart w:id="256" w:name="TBL-5-20-1"/>
            <w:bookmarkEnd w:id="255"/>
            <w:bookmarkEnd w:id="256"/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257" w:name="TBL-5-21-"/>
            <w:bookmarkStart w:id="258" w:name="TBL-5-21-1"/>
            <w:bookmarkStart w:id="259" w:name="TBL-5-21-"/>
            <w:bookmarkStart w:id="260" w:name="TBL-5-21-1"/>
            <w:bookmarkEnd w:id="259"/>
            <w:bookmarkEnd w:id="260"/>
          </w:p>
        </w:tc>
        <w:tc>
          <w:tcPr>
            <w:tcW w:w="9324" w:type="dxa"/>
            <w:gridSpan w:val="2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261" w:name="TBL-5-22-"/>
            <w:bookmarkStart w:id="262" w:name="TBL-5-22-1"/>
            <w:bookmarkStart w:id="263" w:name="TBL-5-22-"/>
            <w:bookmarkStart w:id="264" w:name="TBL-5-22-1"/>
            <w:bookmarkEnd w:id="263"/>
            <w:bookmarkEnd w:id="264"/>
          </w:p>
        </w:tc>
        <w:tc>
          <w:tcPr>
            <w:tcW w:w="9324" w:type="dxa"/>
            <w:gridSpan w:val="2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265" w:name="TBL-5-23-"/>
            <w:bookmarkStart w:id="266" w:name="TBL-5-23-1"/>
            <w:bookmarkStart w:id="267" w:name="TBL-5-23-"/>
            <w:bookmarkStart w:id="268" w:name="TBL-5-23-1"/>
            <w:bookmarkEnd w:id="267"/>
            <w:bookmarkEnd w:id="268"/>
          </w:p>
        </w:tc>
        <w:tc>
          <w:tcPr>
            <w:tcW w:w="9324" w:type="dxa"/>
            <w:gridSpan w:val="2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269" w:name="TBL-5-24-"/>
            <w:bookmarkStart w:id="270" w:name="TBL-5-24-1"/>
            <w:bookmarkStart w:id="271" w:name="TBL-5-24-"/>
            <w:bookmarkStart w:id="272" w:name="TBL-5-24-1"/>
            <w:bookmarkEnd w:id="271"/>
            <w:bookmarkEnd w:id="272"/>
          </w:p>
        </w:tc>
        <w:tc>
          <w:tcPr>
            <w:tcW w:w="9324" w:type="dxa"/>
            <w:gridSpan w:val="2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24" w:type="dxa"/>
            <w:gridSpan w:val="2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r>
        <w:rPr/>
        <w:t xml:space="preserve">3.3 </w:t>
      </w:r>
      <w:bookmarkStart w:id="273" w:name="x1-350003.3"/>
      <w:bookmarkEnd w:id="273"/>
      <w:r>
        <w:rPr/>
        <w:t>Resultado de las dos primeras etapas</w:t>
      </w:r>
    </w:p>
    <w:p>
      <w:pPr>
        <w:pStyle w:val="BodyText"/>
        <w:bidi w:val="0"/>
        <w:jc w:val="start"/>
        <w:rPr/>
      </w:pPr>
      <w:r>
        <w:rPr/>
        <w:t xml:space="preserve">Las dos primeras etapas permitieron transformar la integración móvil de una propuesta conceptual a un prototipo conectado con la plataforma clínica. La primera etapa redujo incertidumbre mediante requisitos, arquitectura y diseño por contexto. La segunda etapa comprobó que los servicios existentes podían reutilizarse y que los flujos prioritarios podían ejecutarse desde una interfaz móvil. </w:t>
      </w:r>
    </w:p>
    <w:p>
      <w:pPr>
        <w:pStyle w:val="BodyTextindent"/>
        <w:bidi w:val="0"/>
        <w:jc w:val="start"/>
        <w:rPr/>
      </w:pPr>
      <w:r>
        <w:rPr/>
        <w:t xml:space="preserve">El principal resultado es una arquitectura de producto en la que la web y la app cumplen funciones complementarias. La web conserva gestión amplia, configuración y operación administrativa; la app acerca el expediente y las acciones clínicas al punto de atención, y abre un canal de participación para el paciente. Esta división evita duplicidad y proporciona una base realista para las siguientes etapas: offline seguro, push, mensajería, QR/NFC, pruebas en dispositivos físicos y piloto con usuarios. </w:t>
      </w:r>
    </w:p>
    <w:p>
      <w:pPr>
        <w:pStyle w:val="Heading2"/>
        <w:bidi w:val="0"/>
        <w:ind w:hanging="0" w:start="0" w:end="0"/>
        <w:jc w:val="start"/>
        <w:rPr/>
      </w:pPr>
      <w:bookmarkStart w:id="274" w:name="x1-36000"/>
      <w:bookmarkEnd w:id="274"/>
      <w:r>
        <w:rPr/>
        <w:t>Referencias</w:t>
      </w:r>
    </w:p>
    <w:p>
      <w:pPr>
        <w:pStyle w:val="ListHeading"/>
        <w:bidi w:val="0"/>
        <w:ind w:hanging="0" w:start="0" w:end="0"/>
        <w:jc w:val="start"/>
        <w:rPr/>
      </w:pPr>
      <w:bookmarkStart w:id="275" w:name="Q1-1-40"/>
      <w:bookmarkEnd w:id="275"/>
      <w:r>
        <w:rPr/>
        <w:t xml:space="preserve">[1] </w:t>
      </w:r>
    </w:p>
    <w:p>
      <w:pPr>
        <w:pStyle w:val="ListContents"/>
        <w:bidi w:val="0"/>
        <w:ind w:hanging="0" w:start="567" w:end="0"/>
        <w:jc w:val="start"/>
        <w:rPr/>
      </w:pPr>
      <w:r>
        <w:rPr/>
        <w:t xml:space="preserve">Federación Internacional de Diabetes. </w:t>
      </w:r>
      <w:r>
        <w:rPr>
          <w:i/>
        </w:rPr>
        <w:t>IDF Diabetes Atlas</w:t>
      </w:r>
      <w:r>
        <w:rPr/>
        <w:t xml:space="preserve">. Información epidemiológica de diabetes mellitus. </w:t>
      </w:r>
    </w:p>
    <w:p>
      <w:pPr>
        <w:pStyle w:val="ListHeading"/>
        <w:bidi w:val="0"/>
        <w:jc w:val="start"/>
        <w:rPr/>
      </w:pPr>
      <w:r>
        <w:rPr/>
        <w:t xml:space="preserve">[2] </w:t>
      </w:r>
    </w:p>
    <w:p>
      <w:pPr>
        <w:pStyle w:val="ListContents"/>
        <w:bidi w:val="0"/>
        <w:ind w:hanging="0" w:start="567" w:end="0"/>
        <w:jc w:val="start"/>
        <w:rPr/>
      </w:pPr>
      <w:r>
        <w:rPr/>
        <w:t xml:space="preserve">Secretaría de Salud. </w:t>
      </w:r>
      <w:r>
        <w:rPr>
          <w:i/>
        </w:rPr>
        <w:t>NOM-015-SSA2-2010, Para la prevención, tratamiento y</w:t>
      </w:r>
      <w:r>
        <w:rPr/>
        <w:t xml:space="preserve"> </w:t>
      </w:r>
      <w:r>
        <w:rPr>
          <w:i/>
        </w:rPr>
        <w:t>control de la diabetes mellitus</w:t>
      </w:r>
      <w:r>
        <w:rPr/>
        <w:t xml:space="preserve">. </w:t>
      </w:r>
    </w:p>
    <w:p>
      <w:pPr>
        <w:pStyle w:val="ListHeading"/>
        <w:bidi w:val="0"/>
        <w:jc w:val="start"/>
        <w:rPr/>
      </w:pPr>
      <w:r>
        <w:rPr/>
        <w:t xml:space="preserve">[3] </w:t>
      </w:r>
    </w:p>
    <w:p>
      <w:pPr>
        <w:pStyle w:val="ListContents"/>
        <w:bidi w:val="0"/>
        <w:ind w:hanging="0" w:start="567" w:end="0"/>
        <w:jc w:val="start"/>
        <w:rPr/>
      </w:pPr>
      <w:r>
        <w:rPr/>
        <w:t xml:space="preserve">Organización Mundial de la Salud. </w:t>
      </w:r>
      <w:r>
        <w:rPr>
          <w:i/>
        </w:rPr>
        <w:t>Global strategy on digital health 2020–2025</w:t>
      </w:r>
      <w:r>
        <w:rPr/>
        <w:t xml:space="preserve">. </w:t>
      </w:r>
    </w:p>
    <w:p>
      <w:pPr>
        <w:pStyle w:val="ListHeading"/>
        <w:bidi w:val="0"/>
        <w:jc w:val="start"/>
        <w:rPr/>
      </w:pPr>
      <w:r>
        <w:rPr/>
        <w:t xml:space="preserve">[4] </w:t>
      </w:r>
    </w:p>
    <w:p>
      <w:pPr>
        <w:pStyle w:val="ListContents"/>
        <w:bidi w:val="0"/>
        <w:ind w:hanging="0" w:start="567" w:end="0"/>
        <w:jc w:val="start"/>
        <w:rPr/>
      </w:pPr>
      <w:r>
        <w:rPr/>
        <w:t xml:space="preserve">React Native. </w:t>
      </w:r>
      <w:r>
        <w:rPr>
          <w:i/>
        </w:rPr>
        <w:t>Documentation</w:t>
      </w:r>
      <w:r>
        <w:rPr/>
        <w:t xml:space="preserve">. Meta Open Source. </w:t>
      </w:r>
    </w:p>
    <w:p>
      <w:pPr>
        <w:pStyle w:val="ListHeading"/>
        <w:bidi w:val="0"/>
        <w:jc w:val="start"/>
        <w:rPr/>
      </w:pPr>
      <w:r>
        <w:rPr/>
        <w:t xml:space="preserve">[5] </w:t>
      </w:r>
    </w:p>
    <w:p>
      <w:pPr>
        <w:pStyle w:val="ListContents"/>
        <w:bidi w:val="0"/>
        <w:ind w:hanging="0" w:start="567" w:end="0"/>
        <w:jc w:val="start"/>
        <w:rPr/>
      </w:pPr>
      <w:r>
        <w:rPr/>
        <w:t xml:space="preserve">Expo. </w:t>
      </w:r>
      <w:r>
        <w:rPr>
          <w:i/>
        </w:rPr>
        <w:t>Expo SDK Documentation: SecureStore, Local Authentication, Camera and</w:t>
      </w:r>
      <w:r>
        <w:rPr/>
        <w:t xml:space="preserve"> </w:t>
      </w:r>
      <w:r>
        <w:rPr>
          <w:i/>
        </w:rPr>
        <w:t>Audio</w:t>
      </w:r>
      <w:r>
        <w:rPr/>
        <w:t xml:space="preserve">. </w:t>
      </w:r>
    </w:p>
    <w:p>
      <w:pPr>
        <w:pStyle w:val="ListHeading"/>
        <w:bidi w:val="0"/>
        <w:jc w:val="start"/>
        <w:rPr/>
      </w:pPr>
      <w:r>
        <w:rPr/>
        <w:t xml:space="preserve">[6] </w:t>
      </w:r>
    </w:p>
    <w:p>
      <w:pPr>
        <w:pStyle w:val="ListContents"/>
        <w:bidi w:val="0"/>
        <w:ind w:hanging="0" w:start="567" w:end="0"/>
        <w:jc w:val="start"/>
        <w:rPr/>
      </w:pPr>
      <w:r>
        <w:rPr/>
        <w:t xml:space="preserve">TanStack. </w:t>
      </w:r>
      <w:r>
        <w:rPr>
          <w:i/>
        </w:rPr>
        <w:t>TanStack Query Documentation</w:t>
      </w:r>
      <w:r>
        <w:rPr/>
        <w:t xml:space="preserve">. </w:t>
      </w:r>
    </w:p>
    <w:p>
      <w:pPr>
        <w:pStyle w:val="ListHeading"/>
        <w:bidi w:val="0"/>
        <w:jc w:val="start"/>
        <w:rPr/>
      </w:pPr>
      <w:r>
        <w:rPr/>
        <w:t xml:space="preserve">[7] </w:t>
      </w:r>
    </w:p>
    <w:p>
      <w:pPr>
        <w:pStyle w:val="ListContents"/>
        <w:bidi w:val="0"/>
        <w:spacing w:before="0" w:after="283"/>
        <w:jc w:val="start"/>
        <w:rPr/>
      </w:pPr>
      <w:r>
        <w:rPr/>
        <w:t>Documentación técnica y levantamiento de requisitos de PREDIA, 2026.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monospace"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ans-serif">
    <w:altName w:val="Arial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ourceTextverb">
    <w:name w:val="Source Text.verb"/>
    <w:basedOn w:val="SourceText"/>
    <w:qFormat/>
    <w:rPr>
      <w:rFonts w:ascii="monospace;monospace" w:hAnsi="monospace;monospace" w:eastAsia="monospace;monospace" w:cs="monospace;monospace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.indent"/>
    <w:basedOn w:val="BodyText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PreformattedTextverbatim">
    <w:name w:val="Preformatted Text.verbatim"/>
    <w:basedOn w:val="PreformattedText"/>
    <w:qFormat/>
    <w:pPr>
      <w:jc w:val="start"/>
    </w:pPr>
    <w:rPr>
      <w:rFonts w:ascii="monospace;monospace" w:hAnsi="monospace;monospace" w:eastAsia="monospace;monospace" w:cs="monospace;monospace"/>
    </w:rPr>
  </w:style>
  <w:style w:type="paragraph" w:styleId="Heading1partHead">
    <w:name w:val="Heading 1.partHead"/>
    <w:basedOn w:val="Heading1"/>
    <w:qFormat/>
    <w:pPr>
      <w:ind w:hanging="0" w:start="0"/>
      <w:jc w:val="center"/>
      <w:outlineLvl w:val="9"/>
    </w:pPr>
    <w:rPr/>
  </w:style>
  <w:style w:type="paragraph" w:styleId="BodyTextbibitem">
    <w:name w:val="Body Text.bibitem"/>
    <w:basedOn w:val="BodyText"/>
    <w:qFormat/>
    <w:pPr/>
    <w:rPr/>
  </w:style>
  <w:style w:type="paragraph" w:styleId="BodyTextbibitem-p">
    <w:name w:val="Body Text.bibitem-p"/>
    <w:basedOn w:val="BodyText"/>
    <w:qFormat/>
    <w:pPr/>
    <w:rPr/>
  </w:style>
  <w:style w:type="paragraph" w:styleId="Heading2titleHead">
    <w:name w:val="Heading 2.titleHead"/>
    <w:basedOn w:val="Heading2"/>
    <w:qFormat/>
    <w:pPr>
      <w:ind w:hanging="0" w:start="0"/>
      <w:jc w:val="center"/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Heading">
    <w:name w:val="List Heading"/>
    <w:basedOn w:val="Normal"/>
    <w:next w:val="ListContents"/>
    <w:qFormat/>
    <w:pPr>
      <w:ind w:start="0"/>
    </w:pPr>
    <w:rPr/>
  </w:style>
  <w:style w:type="paragraph" w:styleId="ListContents">
    <w:name w:val="List Contents"/>
    <w:basedOn w:val="Normal"/>
    <w:qFormat/>
    <w:pPr>
      <w:ind w:star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tor">
    <vt:lpwstr>TeX4ht (https://tug.org/tex4ht/)</vt:lpwstr>
  </property>
  <property fmtid="{D5CDD505-2E9C-101B-9397-08002B2CF9AE}" pid="3" name="src">
    <vt:lpwstr>predia-pi-mobile-report.tex</vt:lpwstr>
  </property>
</Properties>
</file>