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AT: Economy DA</w:t>
      </w:r>
    </w:p>
    <w:p>
      <w:pPr>
        <w:pStyle w:val="Heading2"/>
      </w:pPr>
      <w:r>
        <w:t>Uniqueness Answers</w:t>
      </w:r>
    </w:p>
    <w:p>
      <w:pPr>
        <w:pStyle w:val="Heading3"/>
      </w:pPr>
      <w:r>
        <w:t>AT: Economy Resilient</w:t>
      </w:r>
    </w:p>
    <w:p>
      <w:pPr>
        <w:pStyle w:val="Heading4"/>
      </w:pPr>
      <w:r>
        <w:t>The economy is fragile — recent data proves</w:t>
      </w:r>
    </w:p>
    <w:p>
      <w:r>
        <w:rPr>
          <w:rStyle w:val="Style13ptBold"/>
        </w:rPr>
        <w:t>Smith '24</w:t>
      </w:r>
      <w:r>
        <w:t xml:space="preserve"> (John Smith, Professor of Economics at Example University, "The Fragile Recovery," Journal of Things, 3-14-2024, https://example.com/fragile)</w:t>
      </w:r>
    </w:p>
    <w:p>
      <w:r>
        <w:t xml:space="preserve">The consensus view holds that </w:t>
      </w:r>
      <w:r>
        <w:rPr>
          <w:rStyle w:val="StyleUnderline"/>
        </w:rPr>
        <w:t>the recovery rests on unusually weak foundations</w:t>
      </w:r>
      <w:r>
        <w:rPr>
          <w:sz w:val="16"/>
        </w:rPr>
        <w:t xml:space="preserve">. Analysts who examined quarterly filings found reasons for concern that were widely underreported at the time, </w:t>
      </w:r>
      <w:r>
        <w:rPr>
          <w:rStyle w:val="StyleUnderline"/>
        </w:rPr>
        <w:t>and every leading indicator now points the same direction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FE5699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FE569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FE569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FE569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FE569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E5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8"/>
    <w:qFormat/>
    <w:rsid w:val="00FE5699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FE5699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FE5699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FE5699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FE5699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FE5699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FE5699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FE5699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FE5699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FE5699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99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FE5699"/>
  </w:style>
  <w:style w:type="paragraph" w:styleId="Header">
    <w:name w:val="header"/>
    <w:basedOn w:val="Normal"/>
    <w:link w:val="Head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569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5699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FE56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5699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FE5699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FE5699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83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C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