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  <w:r>
        <w:t xml:space="preserve"> </w:t>
      </w:r>
      <w:r>
        <w:t xml:space="preserve">На агентной модели ходатайство взятого фронта о линии с соседним фронтом рассматривает правило</w:t>
      </w:r>
      <w:r>
        <w:t xml:space="preserve"> </w:t>
      </w:r>
      <w:r>
        <w:t xml:space="preserve">ядра, без языковой модели, на том же ходу (раздел 19.8); подать его можно там, где верхняя</w:t>
      </w:r>
      <w:r>
        <w:t xml:space="preserve"> </w:t>
      </w:r>
      <w:r>
        <w:t xml:space="preserve">инстанция не у игрока (в «истории как замысле»): в остальных режимах Ставку ведёт сам игрок и</w:t>
      </w:r>
      <w:r>
        <w:t xml:space="preserve"> </w:t>
      </w:r>
      <w:r>
        <w:t xml:space="preserve">линию задаёт директивой фронтам.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(без названных — начало оси) окажется по</w:t>
      </w:r>
      <w:r>
        <w:t xml:space="preserve"> </w:t>
      </w:r>
      <w:r>
        <w:t xml:space="preserve">другую сторону новой линии, чем дальняя граница его полосы;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меньше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меньше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2026-10-30T10:18:25Z</dcterms:created>
  <dcterms:modified xsi:type="dcterms:W3CDTF">2026-10-30T10:18:25Z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