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— выбор подложки (без подложки, локальная «Проверочная карта» или</w:t>
      </w:r>
      <w:r>
        <w:rPr>
          <w:iCs/>
          <w:i/>
        </w:rPr>
        <w:t xml:space="preserve"> </w:t>
      </w:r>
      <w:r>
        <w:rPr>
          <w:iCs/>
          <w:i/>
        </w:rPr>
        <w:t xml:space="preserve">карты из интернета),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 и «из файла», у карты — «подложить», «показать район», «пакет ↓».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выбранная подложка: леса, дороги, реки и населённые пункты.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2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2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4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7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7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7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8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8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8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8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7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0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1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1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1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1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1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0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0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0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3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3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3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4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4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5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5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5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6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6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39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39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39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0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0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0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0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0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0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1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1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3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3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3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5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5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5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5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5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2026-10-15T01:46:30Z</dcterms:created>
  <dcterms:modified xsi:type="dcterms:W3CDTF">2026-10-15T01:46:30Z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