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0,477 / 0,272, Зееловские высоты — 0,877 / 0,630, Висло-Одерская — 0,411 / 0,197; «гибрид» повторяет</w:t>
      </w:r>
      <w:r>
        <w:t xml:space="preserve"> </w:t>
      </w:r>
      <w:r>
        <w:t xml:space="preserve">прогон по сценарию. С танками и орудиями армий по документам (раздел 22.4) Берлинская стала на 0,02 ниже (было</w:t>
      </w:r>
      <w:r>
        <w:t xml:space="preserve"> </w:t>
      </w:r>
      <w:r>
        <w:t xml:space="preserve">0,498 / 0,293), Зееловские высоты — те же в пределах разброса (было 0,867 / 0,627).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пунктирном контуре с подписью корпуса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−1 −2 −1 −1 −1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2026-10-28T08:02:58Z</dcterms:created>
  <dcterms:modified xsi:type="dcterms:W3CDTF">2026-10-28T08:02:58Z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