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9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Start w:id="1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2"/>
    <w:bookmarkStart w:id="1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73"/>
    <w:bookmarkEnd w:id="174"/>
    <w:bookmarkStart w:id="17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5"/>
    <w:bookmarkStart w:id="17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6"/>
    <w:bookmarkStart w:id="18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7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82, 82, 81, 75, 81 %).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+1 −2 0 −2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+3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−2 −1 −2 −1 −1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48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двух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1–3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7"/>
    <w:bookmarkStart w:id="17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8"/>
    <w:bookmarkStart w:id="17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дивизиями) и три части, выделяемые из армий в ходе операции (раздел 19.10), 238 приказов, 314</w:t>
      </w:r>
      <w:r>
        <w:t xml:space="preserve"> </w:t>
      </w:r>
      <w:r>
        <w:t xml:space="preserve">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58–62 %</w:t>
      </w:r>
      <w:r>
        <w:t xml:space="preserve"> </w:t>
      </w:r>
      <w:r>
        <w:t xml:space="preserve">(по прогонам 61, 62, 59, 58, 60 %; без множителя</w:t>
      </w:r>
      <w:r>
        <w:t xml:space="preserve"> </w:t>
      </w:r>
      <w:r>
        <w:t xml:space="preserve">режима — 47 % в среднем по пяти прогонам).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—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−3 −4 −4 −5 −4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— — +5 +5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+2 0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28 из 65</w:t>
      </w:r>
      <w:r>
        <w:t xml:space="preserve"> </w:t>
      </w:r>
      <w:r>
        <w:t xml:space="preserve">в пределах двух суток (без множителя режима — 19, без выделения частей — 25): Кельце,</w:t>
      </w:r>
      <w:r>
        <w:t xml:space="preserve"> </w:t>
      </w:r>
      <w:r>
        <w:t xml:space="preserve">Радом, Варшава — во всех прогонах, Лодзь и прорыв Мезерицкого укреплённого района — в четырёх, выход</w:t>
      </w:r>
      <w:r>
        <w:t xml:space="preserve"> </w:t>
      </w:r>
      <w:r>
        <w:t xml:space="preserve">подвижного отряда 5 УА к Одеру у Киница — в трёх, Калиш — в двух. Познань окружается в трёх прогонах,</w:t>
      </w:r>
      <w:r>
        <w:t xml:space="preserve"> </w:t>
      </w:r>
      <w:r>
        <w:t xml:space="preserve">но на 3–5 суток позже истории: корпуса подходят к городу, а кольцо замыкается, только когда земля</w:t>
      </w:r>
      <w:r>
        <w:t xml:space="preserve"> </w:t>
      </w:r>
      <w:r>
        <w:t xml:space="preserve">вокруг переходит к советской стороне. На юге модель быстрее истории: Ченстохов — на 3 суток раньше,</w:t>
      </w:r>
      <w:r>
        <w:t xml:space="preserve"> </w:t>
      </w:r>
      <w:r>
        <w:t xml:space="preserve">Оппельн — на 3–5, Краков и Катовице — на 6. Не наступает выход 4 ТА к Одеру у Штейнау (4 ТА стоит у</w:t>
      </w:r>
      <w:r>
        <w:t xml:space="preserve"> </w:t>
      </w:r>
      <w:r>
        <w:t xml:space="preserve">Кельце до приказа 17.01, а 21.01 остаётся без горючего — раздел 21).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9"/>
    <w:bookmarkEnd w:id="180"/>
    <w:bookmarkStart w:id="18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1"/>
    <w:bookmarkStart w:id="18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2"/>
    <w:bookmarkStart w:id="18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3–5 суток позже истории: кольцо замыкается через переход земли, а не по положению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3"/>
    <w:bookmarkStart w:id="18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4"/>
    <w:bookmarkEnd w:id="185"/>
    <w:bookmarkStart w:id="18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6"/>
    <w:bookmarkStart w:id="18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9"/>
    <w:bookmarkStart w:id="19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90"/>
    <w:bookmarkEnd w:id="1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8" Target="system.docx" TargetMode="External" /><Relationship Type="http://schemas.openxmlformats.org/officeDocument/2006/relationships/hyperlink" Id="rId18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8" Target="system.docx" TargetMode="External" /><Relationship Type="http://schemas.openxmlformats.org/officeDocument/2006/relationships/hyperlink" Id="rId18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2026-10-11T12:10:20Z</dcterms:created>
  <dcterms:modified xsi:type="dcterms:W3CDTF">2026-10-11T12:10:20Z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