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2.jpg" ContentType="image/jpeg"/>
  <Override PartName="/word/media/rId17.jpg" ContentType="image/jpeg"/>
  <Override PartName="/word/media/rId14.jpg" ContentType="image/jpeg"/>
  <Override PartName="/word/media/rId11.jpg" ContentType="image/jpeg"/>
  <Override PartName="/word/media/rId22.jpg" ContentType="image/jpeg"/>
  <Override PartName="/word/media/rId72.jpg" ContentType="image/jpeg"/>
  <Override PartName="/word/media/rId63.jpg" ContentType="image/jpeg"/>
  <Override PartName="/word/media/rId66.jpg" ContentType="image/jpeg"/>
  <Override PartName="/word/media/rId69.jpg" ContentType="image/jpeg"/>
  <Override PartName="/word/media/rId86.jpg" ContentType="image/jpeg"/>
  <Override PartName="/word/media/rId117.jpg" ContentType="image/jpeg"/>
  <Override PartName="/word/media/rId90.jpg" ContentType="image/jpeg"/>
  <Override PartName="/word/media/rId28.jpg" ContentType="image/jpeg"/>
  <Override PartName="/word/media/rId35.jpg" ContentType="image/jpeg"/>
  <Override PartName="/word/media/rId79.jpg" ContentType="image/jpeg"/>
  <Override PartName="/word/media/rId76.jpg" ContentType="image/jpeg"/>
  <Override PartName="/word/media/rId110.jpg" ContentType="image/jpeg"/>
  <Override PartName="/word/media/rId99.jpg" ContentType="image/jpeg"/>
  <Override PartName="/word/media/rId93.jpg" ContentType="image/jpeg"/>
  <Override PartName="/word/media/rId96.jpg" ContentType="image/jpeg"/>
  <Override PartName="/word/media/rId83.jpg" ContentType="image/jpeg"/>
  <Override PartName="/word/media/rId107.jpg" ContentType="image/jpeg"/>
  <Override PartName="/word/media/rId114.jpg" ContentType="image/jpeg"/>
  <Override PartName="/word/media/rId103.jpg" ContentType="image/jpeg"/>
  <Override PartName="/word/media/rId57.jpg" ContentType="image/jpeg"/>
  <Override PartName="/word/media/rId45.jpg" ContentType="image/jpeg"/>
  <Override PartName="/word/media/rId48.jpg" ContentType="image/jpeg"/>
  <Override PartName="/word/media/rId54.jpg" ContentType="image/jpeg"/>
  <Override PartName="/word/media/rId51.jpg" ContentType="image/jpeg"/>
  <Override PartName="/word/media/rId60.jpg" ContentType="image/jpeg"/>
  <Override PartName="/word/media/rId42.jpg" ContentType="image/jpeg"/>
  <Override PartName="/word/media/rId140.jpg" ContentType="image/jpeg"/>
  <Override PartName="/word/media/rId3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 карта и переигровка операций: описание 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134" w:name="часть-i-система"/>
    <w:p>
      <w:pPr>
        <w:pStyle w:val="Heading1"/>
      </w:pPr>
      <w:r>
        <w:t xml:space="preserve">Часть I. Система</w:t>
      </w:r>
    </w:p>
    <w:bookmarkStart w:id="9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</w:pPr>
            <w:r>
              <w:t xml:space="preserve">база знаний: документы разбираются моделью,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</w:pPr>
            <w:r>
              <w:t xml:space="preserve">сверка базы знаний со сценарием и пересчёт модели после уточнения данных</w:t>
            </w:r>
          </w:p>
        </w:tc>
      </w:tr>
    </w:tbl>
    <w:bookmarkEnd w:id="9"/>
    <w:bookmarkStart w:id="10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Редактор</w:t>
            </w:r>
          </w:p>
        </w:tc>
        <w:tc>
          <w:tcPr/>
          <w:p>
            <w:pPr>
              <w:pStyle w:val="Compac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Переигровка</w:t>
            </w:r>
          </w:p>
        </w:tc>
        <w:tc>
          <w:tcPr/>
          <w:p>
            <w:pPr>
              <w:pStyle w:val="Compac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Моделирование</w:t>
            </w:r>
          </w:p>
        </w:tc>
        <w:tc>
          <w:tcPr/>
          <w:p>
            <w:pPr>
              <w:pStyle w:val="Compac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Карты</w:t>
            </w:r>
          </w:p>
        </w:tc>
        <w:tc>
          <w:tcPr/>
          <w:p>
            <w:pPr>
              <w:pStyle w:val="Compac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Знаки</w:t>
            </w:r>
          </w:p>
        </w:tc>
        <w:tc>
          <w:tcPr/>
          <w:p>
            <w:pPr>
              <w:pStyle w:val="Compac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Знания</w:t>
            </w:r>
          </w:p>
        </w:tc>
        <w:tc>
          <w:tcPr/>
          <w:p>
            <w:pPr>
              <w:pStyle w:val="Compact"/>
            </w:pPr>
            <w:r>
              <w:t xml:space="preserve">база знаний по операциям: записи,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ИИ</w:t>
            </w:r>
          </w:p>
        </w:tc>
        <w:tc>
          <w:tcPr/>
          <w:p>
            <w:pPr>
              <w:pStyle w:val="Compac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</w:p>
    <w:bookmarkEnd w:id="10"/>
    <w:bookmarkStart w:id="27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20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12" name="Picture"/>
            <a:graphic>
              <a:graphicData uri="http://schemas.openxmlformats.org/drawingml/2006/picture">
                <pic:pic>
                  <pic:nvPicPr>
                    <pic:cNvPr descr="img/editor-infographic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15" name="Picture"/>
            <a:graphic>
              <a:graphicData uri="http://schemas.openxmlformats.org/drawingml/2006/picture">
                <pic:pic>
                  <pic:nvPicPr>
                    <pic:cNvPr descr="img/editor-atlas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две-три ветви, у каждой — своё</w:t>
      </w:r>
      <w:r>
        <w:t xml:space="preserve"> </w:t>
      </w:r>
      <w:r>
        <w:t xml:space="preserve">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сразу ставится с одной ветвью; ветви добавляются кнопкой «+ ветвь»</w:t>
      </w:r>
      <w:r>
        <w:t xml:space="preserve"> </w:t>
      </w:r>
      <w:r>
        <w:t xml:space="preserve">в инспекторе, развилка (ромбик на стволе) и точки ветви перетаскиваются на карте.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18" name="Picture"/>
            <a:graphic>
              <a:graphicData uri="http://schemas.openxmlformats.org/drawingml/2006/picture">
                <pic:pic>
                  <pic:nvPicPr>
                    <pic:cNvPr descr="img/editor-atlas-graphics.jp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20"/>
    <w:bookmarkStart w:id="21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21"/>
    <w:bookmarkStart w:id="25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/>
          <w:bCs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23" name="Picture"/>
            <a:graphic>
              <a:graphicData uri="http://schemas.openxmlformats.org/drawingml/2006/picture">
                <pic:pic>
                  <pic:nvPicPr>
                    <pic:cNvPr descr="img/editor-inspector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25"/>
    <w:bookmarkStart w:id="26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26"/>
    <w:bookmarkEnd w:id="27"/>
    <w:bookmarkStart w:id="33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29" name="Picture"/>
            <a:graphic>
              <a:graphicData uri="http://schemas.openxmlformats.org/drawingml/2006/picture">
                <pic:pic>
                  <pic:nvPicPr>
                    <pic:cNvPr descr="img/library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/>
          <w:iCs/>
        </w:rPr>
        <w:t xml:space="preserve"> </w:t>
      </w:r>
      <w:hyperlink r:id="rId31">
        <w:r>
          <w:rPr>
            <w:rStyle w:val="Hyperlink"/>
            <w:i/>
            <w:iCs/>
          </w:rPr>
          <w:t xml:space="preserve">library.md</w:t>
        </w:r>
      </w:hyperlink>
      <w:r>
        <w:rPr>
          <w:i/>
          <w:iCs/>
        </w:rPr>
        <w:t xml:space="preserve">, печатный справочник —</w:t>
      </w:r>
      <w:r>
        <w:rPr>
          <w:i/>
          <w:iCs/>
        </w:rPr>
        <w:t xml:space="preserve"> </w:t>
      </w:r>
      <w:hyperlink r:id="rId32">
        <w:r>
          <w:rPr>
            <w:rStyle w:val="Hyperlink"/>
            <w:i/>
            <w:iCs/>
          </w:rPr>
          <w:t xml:space="preserve">library.pdf</w:t>
        </w:r>
      </w:hyperlink>
      <w:r>
        <w:rPr>
          <w:i/>
          <w:iCs/>
        </w:rPr>
        <w:t xml:space="preserve">.</w:t>
      </w:r>
    </w:p>
    <w:bookmarkEnd w:id="33"/>
    <w:bookmarkStart w:id="41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/>
          <w:bCs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34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36" name="Picture"/>
            <a:graphic>
              <a:graphicData uri="http://schemas.openxmlformats.org/drawingml/2006/picture">
                <pic:pic>
                  <pic:nvPicPr>
                    <pic:cNvPr descr="img/maps-basemaps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/>
          <w:bCs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/>
          <w:bCs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39" name="Picture"/>
            <a:graphic>
              <a:graphicData uri="http://schemas.openxmlformats.org/drawingml/2006/picture">
                <pic:pic>
                  <pic:nvPicPr>
                    <pic:cNvPr descr="img/theatre-relief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bookmarkEnd w:id="41"/>
    <w:bookmarkStart w:id="75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/>
          <w:bCs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43" name="Picture"/>
            <a:graphic>
              <a:graphicData uri="http://schemas.openxmlformats.org/drawingml/2006/picture">
                <pic:pic>
                  <pic:nvPicPr>
                    <pic:cNvPr descr="img/replay-tactical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/>
          <w:bCs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  <w:r>
        <w:t xml:space="preserve"> </w:t>
      </w:r>
      <w:r>
        <w:t xml:space="preserve">Единственное соединение в прямом подчинении фронта на оперативном масштабе и на сводной карте</w:t>
      </w:r>
      <w:r>
        <w:t xml:space="preserve"> </w:t>
      </w:r>
      <w:r>
        <w:t xml:space="preserve">показывается под своим именем: Берлинский оборонительный район, а не «Висла».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Место.</w:t>
      </w:r>
      <w:r>
        <w:t xml:space="preserve"> </w:t>
      </w:r>
      <w:r>
        <w:t xml:space="preserve">Знак стоит в центре тяжести своих соединений — среднем положении, взвешенном по</w:t>
      </w:r>
      <w:r>
        <w:t xml:space="preserve"> </w:t>
      </w:r>
      <w:r>
        <w:t xml:space="preserve">численности; уничтоженные и ещё не введённые не учитываются. Знак движется по ходам вместе с</w:t>
      </w:r>
      <w:r>
        <w:t xml:space="preserve"> </w:t>
      </w:r>
      <w:r>
        <w:t xml:space="preserve">войсками. Надпись фронта или группы армий стоит в основной массе его войск на фронте: среди</w:t>
      </w:r>
      <w:r>
        <w:t xml:space="preserve"> </w:t>
      </w:r>
      <w:r>
        <w:t xml:space="preserve">соединений не дальше 30 км от линии фронта хода берётся то, у которого сумма расстояний до</w:t>
      </w:r>
      <w:r>
        <w:t xml:space="preserve"> </w:t>
      </w:r>
      <w:r>
        <w:t xml:space="preserve">остальных (по численности) наименьшая, и надпись ставится в центре тяжести соединений в 30 км от</w:t>
      </w:r>
      <w:r>
        <w:t xml:space="preserve"> </w:t>
      </w:r>
      <w:r>
        <w:t xml:space="preserve">него. Центр тяжести растянутой группировки лежит между флангами: у группы армий «Висла» (3-я</w:t>
      </w:r>
      <w:r>
        <w:t xml:space="preserve"> </w:t>
      </w:r>
      <w:r>
        <w:t xml:space="preserve">танковая армия на нижнем Одере, 9-я армия под Зееловом, гарнизон Берлина) — в советском тылу у</w:t>
      </w:r>
      <w:r>
        <w:t xml:space="preserve"> </w:t>
      </w:r>
      <w:r>
        <w:t xml:space="preserve">Врицена, и надпись оказывалась там, где её войск нет. Надписи противостоящих фронтов ближе</w:t>
      </w:r>
      <w:r>
        <w:t xml:space="preserve"> </w:t>
      </w:r>
      <w:r>
        <w:t xml:space="preserve">24 км друг к другу расходятся каждая в свою сторону, чтобы не лечь одна на другую.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противника. Направление — к ближайшей точке линии фронта</w:t>
      </w:r>
      <w:r>
        <w:t xml:space="preserve"> </w:t>
      </w:r>
      <w:r>
        <w:t xml:space="preserve">хода (не дальше 20 км для армии, 35 км для фронта); линии рядом нет — к центру ближайшего</w:t>
      </w:r>
      <w:r>
        <w:t xml:space="preserve"> </w:t>
      </w:r>
      <w:r>
        <w:t xml:space="preserve">объединения противника. По центру объединения противника рубеж мог смотреть в сторону: у 5-й</w:t>
      </w:r>
      <w:r>
        <w:t xml:space="preserve"> </w:t>
      </w:r>
      <w:r>
        <w:t xml:space="preserve">ударной армии на Зееловских высотах центр 9-й армии лежит южнее, и рубеж ложился вбок от армии.</w:t>
      </w:r>
      <w:r>
        <w:t xml:space="preserve"> </w:t>
      </w:r>
      <w:r>
        <w:t xml:space="preserve">Длина рубежа — по ширине основной массы соединений (без крайних 10 % людей с каждой стороны).</w:t>
      </w:r>
      <w:r>
        <w:t xml:space="preserve"> </w:t>
      </w:r>
      <w:r>
        <w:t xml:space="preserve">Рубеж стоит на переднем крае: средний (по численности) вынос вперёд соединений, стоящих впереди</w:t>
      </w:r>
      <w:r>
        <w:t xml:space="preserve"> </w:t>
      </w:r>
      <w:r>
        <w:t xml:space="preserve">центра, но не дальше порога масштаба и середины пути до линии фронта. На стратегическом масштабе</w:t>
      </w:r>
      <w:r>
        <w:t xml:space="preserve"> </w:t>
      </w:r>
      <w:r>
        <w:t xml:space="preserve">рубеж ставится у каждой стоящей в обороне армии фронта (группы армий), а не по центру всего</w:t>
      </w:r>
      <w:r>
        <w:t xml:space="preserve"> </w:t>
      </w:r>
      <w:r>
        <w:t xml:space="preserve">объединения: центр растянутой группы лежит в тылу, и общий рубеж шёл бы через тыл. Соединение в</w:t>
      </w:r>
      <w:r>
        <w:t xml:space="preserve"> </w:t>
      </w:r>
      <w:r>
        <w:t xml:space="preserve">прямом подчинении фронта подписано своим именем («Берлин: оборона»).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/>
          <w:bCs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/>
          <w:bCs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/>
          <w:bCs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46" name="Picture"/>
            <a:graphic>
              <a:graphicData uri="http://schemas.openxmlformats.org/drawingml/2006/picture">
                <pic:pic>
                  <pic:nvPicPr>
                    <pic:cNvPr descr="img/replay-layers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Полоса управления над картой и открытое меню «Слои».</w:t>
      </w:r>
    </w:p>
    <w:p>
      <w:pPr>
        <w:pStyle w:val="BodyText"/>
      </w:pPr>
      <w:r>
        <w:rPr>
          <w:b/>
          <w:bCs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/>
          <w:bCs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49" name="Picture"/>
            <a:graphic>
              <a:graphicData uri="http://schemas.openxmlformats.org/drawingml/2006/picture">
                <pic:pic>
                  <pic:nvPicPr>
                    <pic:cNvPr descr="img/replay-operational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23 апреля в оперативном масштабе (исторические положения скрыты): объединения в центре тяжести своих соединений; слева вверху — удары 1-й армии Войска Польского и 47-й армии в обход Берлина с севера; удары 8-й гв. армии и 69-й армии, после которых армия встала, — с чертой и датой «23.4»; справа вверху — ось 2-й гв. танковой армии с ромбами и датами «17.4», «18.4»; синяя линия с зубцами от Берлина к Мюнхебергу — рубеж обороны 9-й армии (подсказка «9 А: оборона»);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52" name="Picture"/>
            <a:graphic>
              <a:graphicData uri="http://schemas.openxmlformats.org/drawingml/2006/picture">
                <pic:pic>
                  <pic:nvPicPr>
                    <pic:cNvPr descr="img/replay-strategic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Стратегический масштаб, 20 апреля (исторические положения скрыты): «1-й Белорусский фронт» и «Группа армий „Висла“» — надписями в основной массе своих войск на фронте, разведены в разные стороны (надпись группы армий — у 9-й армии под Мюнхебергом); подписи армий; удар 69-й и 33-й армий — клином атласа; рубежи обороны Берлинского района и 9-й армии — синими линиями с зубцами; линия фронта с оранжевой полосой, исторический фронт — серый; Берлин и Франкфурт — знаком крепости и обводом по застройке города.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55" name="Picture"/>
            <a:graphic>
              <a:graphicData uri="http://schemas.openxmlformats.org/drawingml/2006/picture">
                <pic:pic>
                  <pic:nvPicPr>
                    <pic:cNvPr descr="img/replay-strategic-late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25 апреля в манере атласа: «1-й Белорусский фронт», «Группа армий „Висла“» (у Берлина — к этому дню основная масса её войск на фронте) и внизу «1-й Украинский фронт» — прописными; армии — подписями, танковые — овалами с ромбом; удары фронта — клиньями атласа, у Берлина — с датами «25.4»; сине-белым —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58" name="Picture"/>
            <a:graphic>
              <a:graphicData uri="http://schemas.openxmlformats.org/drawingml/2006/picture">
                <pic:pic>
                  <pic:nvPicPr>
                    <pic:cNvPr descr="img/replay-city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/>
          <w:bCs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 в основной массе войск на фронте, как на карте переигровки.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пояснениями.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61" name="Picture"/>
            <a:graphic>
              <a:graphicData uri="http://schemas.openxmlformats.org/drawingml/2006/picture">
                <pic:pic>
                  <pic:nvPicPr>
                    <pic:cNvPr descr="img/replay-summary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надписи фронтов и групп армий — в основной массе войск на фронте, «1-й Украинский фронт» и «Группа армий „Центр“» разведены; у Берлина — овал Берлинского оборонительного района под своим именем; передний край на начало — с подсветкой, линии к концу этапов — пунктиром; внизу — условные обозначения. Справа — слои сводной карты.</w:t>
      </w:r>
    </w:p>
    <w:p>
      <w:pPr>
        <w:pStyle w:val="BodyText"/>
      </w:pPr>
      <w:r>
        <w:rPr>
          <w:b/>
          <w:bCs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/>
          <w:bCs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/>
          <w:bCs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/>
          <w:bCs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Полосы»: фронт, две его армии,</w:t>
      </w:r>
      <w:r>
        <w:t xml:space="preserve"> </w:t>
      </w:r>
      <w:r>
        <w:t xml:space="preserve">линия точками на карте (от тыла к переднему краю). Кто справа по ходу линии, стенд определяет</w:t>
      </w:r>
      <w:r>
        <w:t xml:space="preserve"> </w:t>
      </w:r>
      <w:r>
        <w:t xml:space="preserve">по положению армий; линия вступает с задержкой доведения армиям и делит полосы армий этого</w:t>
      </w:r>
      <w:r>
        <w:t xml:space="preserve"> </w:t>
      </w:r>
      <w:r>
        <w:t xml:space="preserve">фронта — армии идут к целям своей полосой.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/>
          <w:bCs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/>
          <w:bCs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64" name="Picture"/>
            <a:graphic>
              <a:graphicData uri="http://schemas.openxmlformats.org/drawingml/2006/picture">
                <pic:pic>
                  <pic:nvPicPr>
                    <pic:cNvPr descr="img/game-bounds.jp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Вкладка «Приказы → Полосы»: линии 1 БФ с соседями по директивам, распоряжение — линия между 5-й ударной и 1-й гвардейской танковой армиями (на карте — пунктиром между ними); ниже — форма новой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67" name="Picture"/>
            <a:graphic>
              <a:graphicData uri="http://schemas.openxmlformats.org/drawingml/2006/picture">
                <pic:pic>
                  <pic:nvPicPr>
                    <pic:cNvPr descr="img/game-directives.jp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70" name="Picture"/>
            <a:graphic>
              <a:graphicData uri="http://schemas.openxmlformats.org/drawingml/2006/picture">
                <pic:pic>
                  <pic:nvPicPr>
                    <pic:cNvPr descr="img/game-reports.jp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/>
          <w:bCs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/>
          <w:bCs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73" name="Picture"/>
            <a:graphic>
              <a:graphicData uri="http://schemas.openxmlformats.org/drawingml/2006/picture">
                <pic:pic>
                  <pic:nvPicPr>
                    <pic:cNvPr descr="img/game-advisor-plans.jp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/>
          <w:bCs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75"/>
    <w:bookmarkStart w:id="82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77" name="Picture"/>
            <a:graphic>
              <a:graphicData uri="http://schemas.openxmlformats.org/drawingml/2006/picture">
                <pic:pic>
                  <pic:nvPicPr>
                    <pic:cNvPr descr="img/modeling-models.jp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Набор правил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ww2-berlin-cal</w:t>
      </w:r>
      <w:r>
        <w:rPr>
          <w:i/>
          <w:iCs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80" name="Picture"/>
            <a:graphic>
              <a:graphicData uri="http://schemas.openxmlformats.org/drawingml/2006/picture">
                <pic:pic>
                  <pic:nvPicPr>
                    <pic:cNvPr descr="img/modeling-compare.jp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82"/>
    <w:bookmarkStart w:id="121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/>
          <w:bCs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89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В карточке операции («Моделирование → Операции») загружаются документы: книги, донесения,</w:t>
      </w:r>
      <w:r>
        <w:t xml:space="preserve"> </w:t>
      </w:r>
      <w:r>
        <w:t xml:space="preserve">журналы боевых действий (PDF с текстом, Word, HTML, txt) с указанием достоверности (A, B, C).</w:t>
      </w:r>
      <w:r>
        <w:t xml:space="preserve"> </w:t>
      </w:r>
      <w:r>
        <w:t xml:space="preserve">Модель разбирает документ по частям и выписывает: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записи в базу знаний</w:t>
      </w:r>
      <w:r>
        <w:t xml:space="preserve"> </w:t>
      </w:r>
      <w:r>
        <w:t xml:space="preserve">— в раздел этой операции (формирования, пункты, бои, хроника,</w:t>
      </w:r>
      <w:r>
        <w:t xml:space="preserve"> </w:t>
      </w:r>
      <w:r>
        <w:t xml:space="preserve">нормативы) с дословной цитатой; без цитаты запись отбрасывается;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сведения об инфраструктуре</w:t>
      </w:r>
      <w:r>
        <w:t xml:space="preserve"> </w:t>
      </w:r>
      <w:r>
        <w:t xml:space="preserve">— мосты, переправы, дороги, железные дороги: что, где, в</w:t>
      </w:r>
      <w:r>
        <w:t xml:space="preserve"> </w:t>
      </w:r>
      <w:r>
        <w:t xml:space="preserve">каком состоянии, с какой даты, чьими силами;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положения формирований по дням</w:t>
      </w:r>
      <w:r>
        <w:t xml:space="preserve"> </w:t>
      </w:r>
      <w:r>
        <w:t xml:space="preserve">— кто, когда, где (раздел 8.4);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разграничительные линии</w:t>
      </w:r>
      <w:r>
        <w:t xml:space="preserve"> </w:t>
      </w:r>
      <w:r>
        <w:t xml:space="preserve">— между какими объединениями, с какого числа, по каким пунктам,</w:t>
      </w:r>
      <w:r>
        <w:t xml:space="preserve"> </w:t>
      </w:r>
      <w:r>
        <w:t xml:space="preserve">чьи пункты включительно (раздел 8.4).</w:t>
      </w:r>
    </w:p>
    <w:p>
      <w:pPr>
        <w:pStyle w:val="FirstParagraph"/>
      </w:pPr>
      <w:r>
        <w:t xml:space="preserve">Под документом видно, что извлеклось: сколько новых записей, дополнений, сведений об</w:t>
      </w:r>
      <w:r>
        <w:t xml:space="preserve"> </w:t>
      </w:r>
      <w:r>
        <w:t xml:space="preserve">инфраструктуре. Каждое сведение показано с цитатой и с тем, как оно ляжет на театр («в</w:t>
      </w:r>
      <w:r>
        <w:t xml:space="preserve"> </w:t>
      </w:r>
      <w:r>
        <w:t xml:space="preserve">расчёте: переправа действует с 17.04» или «на театре не найдено — останется сведением»).</w:t>
      </w:r>
      <w:r>
        <w:t xml:space="preserve"> </w:t>
      </w:r>
      <w:r>
        <w:t xml:space="preserve">Человек принимает или отклоняет; принятое попадает в расчёт и в базу знаний.</w:t>
      </w:r>
    </w:p>
    <w:p>
      <w:pPr>
        <w:pStyle w:val="BodyText"/>
      </w:pPr>
      <w:r>
        <w:drawing>
          <wp:inline>
            <wp:extent cx="5334000" cy="4901798"/>
            <wp:effectExtent b="0" l="0" r="0" t="0"/>
            <wp:docPr descr="Материалы операции: извлечённые сведения об инфраструктуре" title="" id="84" name="Picture"/>
            <a:graphic>
              <a:graphicData uri="http://schemas.openxmlformats.org/drawingml/2006/picture">
                <pic:pic>
                  <pic:nvPicPr>
                    <pic:cNvPr descr="img/ops-materials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901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Два проверочных документа — о переправах и с директивами о разграничительных линиях; вкладки извлечённого: инфраструктура, база знаний, положения, разграничительные линии. По переправам модель выписала три сведения — мост у Фюрстенвальде взорван 16.04 (на театре такого моста нет — останется сведением), понтонная переправа у Франкфурта наведена 17.04, шоссе у Зелова заминировано 16.04 (в радиусе 1,8 км дорога не даёт дорожного темпа).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87" name="Picture"/>
            <a:graphic>
              <a:graphicData uri="http://schemas.openxmlformats.org/drawingml/2006/picture">
                <pic:pic>
                  <pic:nvPicPr>
                    <pic:cNvPr descr="img/kb-browse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Раздел «Знания»: рубрикатор слева, запись об операции с фактами, источниками и достоверностью, справа — вопросы к модели по базе.</w:t>
      </w:r>
    </w:p>
    <w:bookmarkEnd w:id="89"/>
    <w:bookmarkStart w:id="102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/>
          <w:bCs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Реки</w:t>
            </w:r>
          </w:p>
        </w:tc>
        <w:tc>
          <w:tcPr/>
          <w:p>
            <w:pPr>
              <w:pStyle w:val="Compac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/>
          <w:bCs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/>
          <w:bCs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/>
          <w:bCs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91" name="Picture"/>
            <a:graphic>
              <a:graphicData uri="http://schemas.openxmlformats.org/drawingml/2006/picture">
                <pic:pic>
                  <pic:nvPicPr>
                    <pic:cNvPr descr="img/kb-coverage.jp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/>
          <w:bCs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/>
          <w:bCs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/>
          <w:bCs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94" name="Picture"/>
            <a:graphic>
              <a:graphicData uri="http://schemas.openxmlformats.org/drawingml/2006/picture">
                <pic:pic>
                  <pic:nvPicPr>
                    <pic:cNvPr descr="img/ops-coverage-matrix.jp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97" name="Picture"/>
            <a:graphic>
              <a:graphicData uri="http://schemas.openxmlformats.org/drawingml/2006/picture">
                <pic:pic>
                  <pic:nvPicPr>
                    <pic:cNvPr descr="img/ops-gapmap.jp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/>
          <w:bCs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00" name="Picture"/>
            <a:graphic>
              <a:graphicData uri="http://schemas.openxmlformats.org/drawingml/2006/picture">
                <pic:pic>
                  <pic:nvPicPr>
                    <pic:cNvPr descr="img/ops-coverage-boundaries.jp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/>
          <w:bCs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02"/>
    <w:bookmarkStart w:id="106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операции; расчёт же берёт численность, танки и орудия из</w:t>
      </w:r>
      <w:r>
        <w:t xml:space="preserve"> </w:t>
      </w:r>
      <w:r>
        <w:t xml:space="preserve">сценария. Панель «Сверка с базой знаний» в карточке операции связывает их в обе стороны.</w:t>
      </w:r>
    </w:p>
    <w:p>
      <w:pPr>
        <w:pStyle w:val="BodyText"/>
      </w:pPr>
      <w:r>
        <w:rPr>
          <w:b/>
          <w:bCs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/>
          <w:bCs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</w:t>
      </w:r>
    </w:p>
    <w:p>
      <w:pPr>
        <w:pStyle w:val="BodyText"/>
      </w:pPr>
      <w:r>
        <w:rPr>
          <w:b/>
          <w:bCs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/>
          <w:bCs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2387650"/>
            <wp:effectExtent b="0" l="0" r="0" t="0"/>
            <wp:docPr descr="Сверка с базой знаний" title="" id="104" name="Picture"/>
            <a:graphic>
              <a:graphicData uri="http://schemas.openxmlformats.org/drawingml/2006/picture">
                <pic:pic>
                  <pic:nvPicPr>
                    <pic:cNvPr descr="img/ops-sync.jp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87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Берлинская операция: три расхождения «база → сценарий» — танки трёх немецких дивизий (в сценарии — по распределению численности армии, в базе — исправные на 13.04 по Исаеву), и 187 сведений, которых в базе нет: численность, танки, орудия, боевой путь.</w:t>
      </w:r>
    </w:p>
    <w:bookmarkEnd w:id="106"/>
    <w:bookmarkStart w:id="113" w:name="Xa54427352b129e489a6c64cd5bece0234c5b20f"/>
    <w:p>
      <w:pPr>
        <w:pStyle w:val="Heading3"/>
      </w:pPr>
      <w:r>
        <w:t xml:space="preserve">8.4. Положения и разграничительные линии из документов</w:t>
      </w:r>
    </w:p>
    <w:p>
      <w:pPr>
        <w:pStyle w:val="FirstParagraph"/>
      </w:pPr>
      <w:r>
        <w:t xml:space="preserve">При разборе документа операции модель выписывает и положения формирований: кто, в какой день,</w:t>
      </w:r>
      <w:r>
        <w:t xml:space="preserve"> </w:t>
      </w:r>
      <w:r>
        <w:t xml:space="preserve">у какого пункта — с дословной цитатой. Положение без даты, без места или без цитаты в тексте</w:t>
      </w:r>
      <w:r>
        <w:t xml:space="preserve"> </w:t>
      </w:r>
      <w:r>
        <w:t xml:space="preserve">отбрасывается. Стенд сопоставляет формирование со сценарием (по названию, синонимам записей</w:t>
      </w:r>
      <w:r>
        <w:t xml:space="preserve"> </w:t>
      </w:r>
      <w:r>
        <w:t xml:space="preserve">базы или по номеру и роду: «8 гв. армия» — «8-я гвардейская армия») и пункт — с театром.</w:t>
      </w:r>
    </w:p>
    <w:p>
      <w:pPr>
        <w:pStyle w:val="BodyText"/>
      </w:pPr>
      <w:r>
        <w:t xml:space="preserve">Принятое положение ложится: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в базу знаний</w:t>
      </w:r>
      <w:r>
        <w:t xml:space="preserve"> </w:t>
      </w:r>
      <w:r>
        <w:t xml:space="preserve">— фактом «боевой путь» записи формирования, с цитатой и документом;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в историю операции</w:t>
      </w:r>
      <w:r>
        <w:t xml:space="preserve"> </w:t>
      </w:r>
      <w:r>
        <w:t xml:space="preserve">— если формирование есть в сценарии, а пункт на театре: с</w:t>
      </w:r>
      <w:r>
        <w:t xml:space="preserve"> </w:t>
      </w:r>
      <w:r>
        <w:t xml:space="preserve">неопределённостью по ступени (армия ±15 км, корпус ±8, дивизия ±5) и с достоверностью</w:t>
      </w:r>
      <w:r>
        <w:t xml:space="preserve"> </w:t>
      </w:r>
      <w:r>
        <w:t xml:space="preserve">документа. По нему сверяется расчёт и идёт калибровка; полнота «Положения по дням» растёт.</w:t>
      </w:r>
    </w:p>
    <w:p>
      <w:pPr>
        <w:pStyle w:val="FirstParagraph"/>
      </w:pPr>
      <w:r>
        <w:t xml:space="preserve">Положения в истории видны списком; любое можно убрать (в базе факт остаётся).</w:t>
      </w:r>
    </w:p>
    <w:p>
      <w:pPr>
        <w:pStyle w:val="BodyText"/>
      </w:pPr>
      <w:r>
        <w:drawing>
          <wp:inline>
            <wp:extent cx="5334000" cy="2091232"/>
            <wp:effectExtent b="0" l="0" r="0" t="0"/>
            <wp:docPr descr="Положения из документа" title="" id="108" name="Picture"/>
            <a:graphic>
              <a:graphicData uri="http://schemas.openxmlformats.org/drawingml/2006/picture">
                <pic:pic>
                  <pic:nvPicPr>
                    <pic:cNvPr descr="img/ops-position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912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Три положения из проверочного документа: два ложатся и в историю, и в базу; для третьего пункт «Зеелов» на театре не найден (там «Зелов») — только в базу.</w:t>
      </w:r>
    </w:p>
    <w:p>
      <w:pPr>
        <w:pStyle w:val="BodyText"/>
      </w:pPr>
      <w:r>
        <w:rPr>
          <w:b/>
          <w:bCs/>
        </w:rPr>
        <w:t xml:space="preserve">Разграничительные линии.</w:t>
      </w:r>
      <w:r>
        <w:t xml:space="preserve"> </w:t>
      </w:r>
      <w:r>
        <w:t xml:space="preserve">Из директивы или приказа модель выписывает линию: два объединения</w:t>
      </w:r>
      <w:r>
        <w:t xml:space="preserve"> </w:t>
      </w:r>
      <w:r>
        <w:t xml:space="preserve">(если документ адресован одному из них — «с 1-м Белорусским фронтом», — второе берётся</w:t>
      </w:r>
      <w:r>
        <w:t xml:space="preserve"> </w:t>
      </w:r>
      <w:r>
        <w:t xml:space="preserve">адресатом), с какого и до какого числа, пункты по порядку, чьи пункты включительно, оговорки</w:t>
      </w:r>
      <w:r>
        <w:t xml:space="preserve"> </w:t>
      </w:r>
      <w:r>
        <w:t xml:space="preserve">(«до Люббен прежняя»), с цитатой. Без цитаты, без двух объединений или двух пунктов линия</w:t>
      </w:r>
      <w:r>
        <w:t xml:space="preserve"> </w:t>
      </w:r>
      <w:r>
        <w:t xml:space="preserve">отбрасывается. Стенд сопоставляет объединения со сценарием (включая фронты), пункты — с театром,</w:t>
      </w:r>
      <w:r>
        <w:t xml:space="preserve"> </w:t>
      </w:r>
      <w:r>
        <w:t xml:space="preserve">и определяет, чья полоса справа по ходу линии (по положению войск объединений в начале</w:t>
      </w:r>
      <w:r>
        <w:t xml:space="preserve"> </w:t>
      </w:r>
      <w:r>
        <w:t xml:space="preserve">операции). Принятая линия ложится: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в базу знаний</w:t>
      </w:r>
      <w:r>
        <w:t xml:space="preserve"> </w:t>
      </w:r>
      <w:r>
        <w:t xml:space="preserve">— фактом «разграничительные линии» в записи обоих объединений, с цитатой</w:t>
      </w:r>
      <w:r>
        <w:t xml:space="preserve"> </w:t>
      </w:r>
      <w:r>
        <w:t xml:space="preserve">и документом;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в сценарий операции</w:t>
      </w:r>
      <w:r>
        <w:t xml:space="preserve"> </w:t>
      </w:r>
      <w:r>
        <w:t xml:space="preserve">— если оба объединения есть в сценарии, а на театре нашлись хотя бы два</w:t>
      </w:r>
      <w:r>
        <w:t xml:space="preserve"> </w:t>
      </w:r>
      <w:r>
        <w:t xml:space="preserve">пункта: полосы в расчёте и линия на карте переигровки (ненайденные пункты — в примечании).</w:t>
      </w:r>
      <w:r>
        <w:t xml:space="preserve"> </w:t>
      </w:r>
      <w:r>
        <w:t xml:space="preserve">Линия той же пары с тем же сроком заменяет прежнюю.</w:t>
      </w:r>
    </w:p>
    <w:p>
      <w:pPr>
        <w:pStyle w:val="FirstParagraph"/>
      </w:pPr>
      <w:r>
        <w:t xml:space="preserve">Линии сценария видны списком («Разграничительные линии в сценарии»); добавленную из документа</w:t>
      </w:r>
      <w:r>
        <w:t xml:space="preserve"> </w:t>
      </w:r>
      <w:r>
        <w:t xml:space="preserve">можно убрать (в базе факт остаётся).</w:t>
      </w:r>
    </w:p>
    <w:p>
      <w:pPr>
        <w:pStyle w:val="BodyText"/>
      </w:pPr>
      <w:r>
        <w:drawing>
          <wp:inline>
            <wp:extent cx="5334000" cy="3926709"/>
            <wp:effectExtent b="0" l="0" r="0" t="0"/>
            <wp:docPr descr="Разграничительная линия из документа" title="" id="111" name="Picture"/>
            <a:graphic>
              <a:graphicData uri="http://schemas.openxmlformats.org/drawingml/2006/picture">
                <pic:pic>
                  <pic:nvPicPr>
                    <pic:cNvPr descr="img/ops-boundaries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267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Директива о линии 1 БФ / 1 УФ с 23.04: на театре найдены два пункта из четырёх (Тойпитц, Миттенвальде); справа по ходу линии — 1-й Белорусский фронт; линия принята в сценарий и в базу.</w:t>
      </w:r>
    </w:p>
    <w:bookmarkEnd w:id="113"/>
    <w:bookmarkStart w:id="120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pStyle w:val="Compact"/>
        <w:numPr>
          <w:ilvl w:val="0"/>
          <w:numId w:val="1013"/>
        </w:numPr>
      </w:pPr>
      <w:r>
        <w:t xml:space="preserve">прогоняет операцию на текущих правилах (5 прогонов) — «до»;</w:t>
      </w:r>
    </w:p>
    <w:p>
      <w:pPr>
        <w:pStyle w:val="Compact"/>
        <w:numPr>
          <w:ilvl w:val="0"/>
          <w:numId w:val="1013"/>
        </w:numPr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pStyle w:val="Compact"/>
        <w:numPr>
          <w:ilvl w:val="0"/>
          <w:numId w:val="1013"/>
        </w:numPr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pStyle w:val="Compact"/>
        <w:numPr>
          <w:ilvl w:val="0"/>
          <w:numId w:val="1013"/>
        </w:numPr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pStyle w:val="Compact"/>
        <w:numPr>
          <w:ilvl w:val="0"/>
          <w:numId w:val="1013"/>
        </w:numPr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/>
          <w:bCs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15" name="Picture"/>
            <a:graphic>
              <a:graphicData uri="http://schemas.openxmlformats.org/drawingml/2006/picture">
                <pic:pic>
                  <pic:nvPicPr>
                    <pic:cNvPr descr="img/ops-recalc.jp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18" name="Picture"/>
            <a:graphic>
              <a:graphicData uri="http://schemas.openxmlformats.org/drawingml/2006/picture">
                <pic:pic>
                  <pic:nvPicPr>
                    <pic:cNvPr descr="img/kb-calibration.jp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20"/>
    <w:bookmarkEnd w:id="121"/>
    <w:bookmarkStart w:id="125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Роль</w:t>
            </w:r>
          </w:p>
        </w:tc>
        <w:tc>
          <w:tcPr/>
          <w:p>
            <w:pPr>
              <w:pStyle w:val="Compac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Знания</w:t>
            </w:r>
          </w:p>
        </w:tc>
        <w:tc>
          <w:tcPr/>
          <w:p>
            <w:pPr>
              <w:pStyle w:val="Compact"/>
            </w:pPr>
            <w:r>
              <w:t xml:space="preserve">разбор документов, ответы и рассказы по базе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размышления. 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123" name="Picture"/>
            <a:graphic>
              <a:graphicData uri="http://schemas.openxmlformats.org/drawingml/2006/picture">
                <pic:pic>
                  <pic:nvPicPr>
                    <pic:cNvPr descr="img/ai-settings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Связь с моделью: адрес сервера, модель, размышление; как подготовить LM Studio и что видит модель.</w:t>
      </w:r>
    </w:p>
    <w:bookmarkEnd w:id="125"/>
    <w:bookmarkStart w:id="127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Часть</w:t>
            </w:r>
          </w:p>
        </w:tc>
        <w:tc>
          <w:tcPr/>
          <w:p>
            <w:pPr>
              <w:pStyle w:val="Compac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</w:pPr>
            <w:r>
              <w:t xml:space="preserve">база знаний: каркас, рубрикатор, поиск, извлечение из документов, полнота, подсказки, сверка со сценарием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</w:pPr>
            <w:r>
              <w:t xml:space="preserve">приложение: все разделы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126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127"/>
    <w:bookmarkStart w:id="129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Слой пользователя базы знаний: записи, документы, предложения</w:t>
            </w:r>
          </w:p>
        </w:tc>
        <w:tc>
          <w:tcPr/>
          <w:p>
            <w:pPr>
              <w:pStyle w:val="Compact"/>
            </w:pPr>
            <w:r>
              <w:t xml:space="preserve">браузер (IndexedDB); выгрузка и загрузка файлом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128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129"/>
    <w:bookmarkStart w:id="131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130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131"/>
    <w:bookmarkStart w:id="132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/>
          <w:bCs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VerbatimChar"/>
        </w:rPr>
        <w:t xml:space="preserve">./scripts/start-local.sh            # macOS / Linux</w:t>
      </w:r>
      <w:r>
        <w:br/>
      </w:r>
      <w:r>
        <w:rPr>
          <w:rStyle w:val="VerbatimChar"/>
        </w:rPr>
        <w:t xml:space="preserve">.\scripts\start-local.ps1           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/>
          <w:bCs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/>
          <w:bCs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132"/>
    <w:bookmarkStart w:id="133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VerbatimChar"/>
        </w:rPr>
        <w:t xml:space="preserve">npm ci                    # зависимости ровно по package-lock.json</w:t>
      </w:r>
      <w:r>
        <w:br/>
      </w:r>
      <w:r>
        <w:rPr>
          <w:rStyle w:val="VerbatimChar"/>
        </w:rPr>
        <w:t xml:space="preserve">npm run dev               # приложение: http://localhost:5173/</w:t>
      </w:r>
      <w:r>
        <w:br/>
      </w:r>
      <w:r>
        <w:rPr>
          <w:rStyle w:val="VerbatimChar"/>
        </w:rPr>
        <w:t xml:space="preserve">npm run dev:services      # сервисы для разработки (шлюз :8080); без БД — файлы и память</w:t>
      </w:r>
      <w:r>
        <w:br/>
      </w:r>
      <w:r>
        <w:rPr>
          <w:rStyle w:val="VerbatimChar"/>
        </w:rPr>
        <w:t xml:space="preserve">npm run llm:mock          # подставная модель вместо LM Studio</w:t>
      </w:r>
      <w:r>
        <w:br/>
      </w:r>
      <w:r>
        <w:rPr>
          <w:rStyle w:val="VerbatimChar"/>
        </w:rPr>
        <w:t xml:space="preserve">npm run sim:demo          # переигровка трёх операций из терминала, отчёты и карты</w:t>
      </w:r>
      <w:r>
        <w:br/>
      </w:r>
      <w:r>
        <w:rPr>
          <w:rStyle w:val="VerbatimChar"/>
        </w:rPr>
        <w:t xml:space="preserve">npm test                  # 221 проверка: ядро, сервисы через шлюз, симулятор, база знаний</w:t>
      </w:r>
      <w:r>
        <w:br/>
      </w:r>
      <w:r>
        <w:rPr>
          <w:rStyle w:val="VerbatimChar"/>
        </w:rPr>
        <w:t xml:space="preserve">npm run typecheck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133"/>
    <w:bookmarkEnd w:id="134"/>
    <w:bookmarkStart w:id="180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135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136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137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/>
          <w:bCs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/>
          <w:bCs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/>
          <w:bCs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/>
          <w:bCs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/>
          <w:bCs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137"/>
    <w:bookmarkStart w:id="138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документы операции (разбор моделью, с цитатой) или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</w:p>
    <w:bookmarkEnd w:id="138"/>
    <w:bookmarkStart w:id="148" w:name="Xb75c2b10631fcbfc04eb3a0e3375c635fd2d8e0"/>
    <w:p>
      <w:pPr>
        <w:pStyle w:val="Heading2"/>
      </w:pPr>
      <w:r>
        <w:t xml:space="preserve">17. Данные</w:t>
      </w:r>
    </w:p>
    <w:bookmarkStart w:id="139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  <w:tc>
          <w:tcPr/>
          <w:p>
            <w:pPr>
              <w:pStyle w:val="Compac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/>
                <w:iCs/>
              </w:rPr>
              <w:t xml:space="preserve">Slaughter at Halbe</w:t>
            </w:r>
          </w:p>
        </w:tc>
        <w:tc>
          <w:tcPr/>
          <w:p>
            <w:pPr>
              <w:pStyle w:val="Compac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/>
                <w:iCs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/>
                <w:iCs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Каждая запись имеет источник и достоверность: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/>
          <w:iCs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/>
          <w:bCs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/>
          <w:bCs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/>
          <w:bCs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139"/>
    <w:bookmarkStart w:id="145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Слой</w:t>
            </w:r>
          </w:p>
        </w:tc>
        <w:tc>
          <w:tcPr/>
          <w:p>
            <w:pPr>
              <w:pStyle w:val="Compac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</w:pPr>
            <w:r>
              <w:t xml:space="preserve">большие реки (Одер, Нейсе, Шпрее, Эльба, Хафель, Варта…) — преграда; малые — задержка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Мосты</w:t>
            </w:r>
          </w:p>
        </w:tc>
        <w:tc>
          <w:tcPr/>
          <w:p>
            <w:pPr>
              <w:pStyle w:val="Compac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/>
          <w:bCs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/>
          <w:bCs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указывает образцы цвета для дорог, шоссе, застройки, воды, леса и</w:t>
      </w:r>
      <w:r>
        <w:t xml:space="preserve"> </w:t>
      </w:r>
      <w:r>
        <w:t xml:space="preserve">болота (или готовую легенду),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Поэтому после распознавания показывается</w:t>
      </w:r>
      <w:r>
        <w:t xml:space="preserve"> </w:t>
      </w:r>
      <w:r>
        <w:rPr>
          <w:b/>
          <w:bCs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141" name="Picture"/>
            <a:graphic>
              <a:graphicData uri="http://schemas.openxmlformats.org/drawingml/2006/picture">
                <pic:pic>
                  <pic:nvPicPr>
                    <pic:cNvPr descr="img/theatre-historical-roads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143" name="Picture"/>
            <a:graphic>
              <a:graphicData uri="http://schemas.openxmlformats.org/drawingml/2006/picture">
                <pic:pic>
                  <pic:nvPicPr>
                    <pic:cNvPr descr="img/theatre-relief.jp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/>
          <w:bCs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/>
          <w:bCs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Карта</w:t>
            </w:r>
          </w:p>
        </w:tc>
        <w:tc>
          <w:tcPr/>
          <w:p>
            <w:pPr>
              <w:pStyle w:val="Compact"/>
            </w:pPr>
            <w:r>
              <w:t xml:space="preserve">Охват</w:t>
            </w:r>
          </w:p>
        </w:tc>
        <w:tc>
          <w:tcPr/>
          <w:p>
            <w:pPr>
              <w:pStyle w:val="Compac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</w:pPr>
            <w:r>
              <w:t xml:space="preserve">2 км</w:t>
            </w:r>
          </w:p>
        </w:tc>
        <w:tc>
          <w:tcPr/>
          <w:p>
            <w:pPr>
              <w:pStyle w:val="Compac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</w:pPr>
            <w:r>
              <w:t xml:space="preserve">250 м</w:t>
            </w:r>
          </w:p>
        </w:tc>
        <w:tc>
          <w:tcPr/>
          <w:p>
            <w:pPr>
              <w:pStyle w:val="Compac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</w:pPr>
            <w:r>
              <w:t xml:space="preserve">2 км</w:t>
            </w:r>
          </w:p>
        </w:tc>
        <w:tc>
          <w:tcPr/>
          <w:p>
            <w:pPr>
              <w:pStyle w:val="Compac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145"/>
    <w:bookmarkStart w:id="146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</w:pPr>
            <w:r>
              <w:t xml:space="preserve">15 / 8 / 12</w:t>
            </w:r>
          </w:p>
        </w:tc>
        <w:tc>
          <w:tcPr/>
          <w:p>
            <w:pPr>
              <w:pStyle w:val="Compac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</w:pPr>
            <w:r>
              <w:t xml:space="preserve">6 / 4 / 3</w:t>
            </w:r>
          </w:p>
        </w:tc>
        <w:tc>
          <w:tcPr/>
          <w:p>
            <w:pPr>
              <w:pStyle w:val="Compac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</w:pPr>
            <w:r>
              <w:t xml:space="preserve">0,6 / 0,6</w:t>
            </w:r>
          </w:p>
        </w:tc>
        <w:tc>
          <w:tcPr/>
          <w:p>
            <w:pPr>
              <w:pStyle w:val="Compac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</w:pPr>
            <w:r>
              <w:t xml:space="preserve">3 / 2</w:t>
            </w:r>
          </w:p>
        </w:tc>
        <w:tc>
          <w:tcPr/>
          <w:p>
            <w:pPr>
              <w:pStyle w:val="Compac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</w:pPr>
            <w:r>
              <w:t xml:space="preserve">48 ч</w:t>
            </w:r>
          </w:p>
        </w:tc>
        <w:tc>
          <w:tcPr/>
          <w:p>
            <w:pPr>
              <w:pStyle w:val="Compac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РККА</w:t>
            </w:r>
          </w:p>
        </w:tc>
        <w:tc>
          <w:tcPr/>
          <w:p>
            <w:pPr>
              <w:pStyle w:val="Compac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</w:pPr>
            <w:r>
              <w:t xml:space="preserve">0,95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</w:pPr>
            <w:r>
              <w:t xml:space="preserve">1,05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</w:pPr>
            <w:r>
              <w:t xml:space="preserve">1,1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</w:pPr>
            <w:r>
              <w:t xml:space="preserve">1,05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</w:pPr>
            <w:r>
              <w:t xml:space="preserve">1,1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</w:pPr>
            <w:r>
              <w:t xml:space="preserve">0,9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</w:pPr>
            <w:r>
              <w:t xml:space="preserve">0,9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</w:pPr>
            <w:r>
              <w:t xml:space="preserve">1,05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</w:pPr>
            <w:r>
              <w:t xml:space="preserve">1,05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</w:pPr>
            <w:r>
              <w:t xml:space="preserve">1,0 / 1,05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</w:pPr>
            <w:r>
              <w:t xml:space="preserve">1,0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</w:pPr>
            <w:r>
              <w:t xml:space="preserve">0,8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/>
          <w:bCs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146"/>
    <w:bookmarkStart w:id="147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Файл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147"/>
    <w:bookmarkEnd w:id="148"/>
    <w:bookmarkStart w:id="152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149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bookmarkEnd w:id="149"/>
    <w:bookmarkStart w:id="150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/>
          <w:bCs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/>
          <w:bCs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150"/>
    <w:bookmarkStart w:id="151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/>
          <w:bCs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151"/>
    <w:bookmarkEnd w:id="152"/>
    <w:bookmarkStart w:id="163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/>
          <w:bCs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Расход и подвоз, усталость, подготовка обороны, потеря боеспособности.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153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pStyle w:val="Compact"/>
        <w:numPr>
          <w:ilvl w:val="0"/>
          <w:numId w:val="1019"/>
        </w:numPr>
      </w:pPr>
      <w:r>
        <w:rPr>
          <w:i/>
          <w:iCs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153"/>
    <w:bookmarkStart w:id="154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/>
          <w:bCs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/>
          <w:bCs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/>
          <w:bCs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1,5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1,2</w:t>
            </w:r>
          </w:p>
        </w:tc>
        <w:tc>
          <w:tcPr/>
          <w:p>
            <w:pPr>
              <w:pStyle w:val="Compact"/>
            </w:pPr>
            <w:r>
              <w:t xml:space="preserve">3,5</w:t>
            </w:r>
          </w:p>
        </w:tc>
        <w:tc>
          <w:tcPr/>
          <w:p>
            <w:pPr>
              <w:pStyle w:val="Compact"/>
            </w:pPr>
            <w:r>
              <w:t xml:space="preserve">7,0</w:t>
            </w:r>
          </w:p>
        </w:tc>
        <w:tc>
          <w:tcPr/>
          <w:p>
            <w:pPr>
              <w:pStyle w:val="Compact"/>
            </w:pPr>
            <w:r>
              <w:t xml:space="preserve">11,6</w:t>
            </w:r>
          </w:p>
        </w:tc>
        <w:tc>
          <w:tcPr/>
          <w:p>
            <w:pPr>
              <w:pStyle w:val="Compact"/>
            </w:pPr>
            <w:r>
              <w:t xml:space="preserve">20,9</w:t>
            </w:r>
          </w:p>
        </w:tc>
        <w:tc>
          <w:tcPr/>
          <w:p>
            <w:pPr>
              <w:pStyle w:val="Compac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</w:pPr>
            <w:r>
              <w:t xml:space="preserve">5,7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3,5</w:t>
            </w:r>
          </w:p>
        </w:tc>
        <w:tc>
          <w:tcPr/>
          <w:p>
            <w:pPr>
              <w:pStyle w:val="Compact"/>
            </w:pPr>
            <w:r>
              <w:t xml:space="preserve">2,1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1,1</w:t>
            </w:r>
          </w:p>
        </w:tc>
        <w:tc>
          <w:tcPr/>
          <w:p>
            <w:pPr>
              <w:pStyle w:val="Compac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</w:pPr>
            <w:r>
              <w:t xml:space="preserve">2,3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4,5</w:t>
            </w:r>
          </w:p>
        </w:tc>
        <w:tc>
          <w:tcPr/>
          <w:p>
            <w:pPr>
              <w:pStyle w:val="Compact"/>
            </w:pPr>
            <w:r>
              <w:t xml:space="preserve">6,8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13,5</w:t>
            </w:r>
          </w:p>
        </w:tc>
        <w:tc>
          <w:tcPr/>
          <w:p>
            <w:pPr>
              <w:pStyle w:val="Compac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/>
          <w:bCs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/>
          <w:bCs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/>
          <w:bCs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/>
          <w:bCs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/>
          <w:bCs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/>
          <w:bCs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154"/>
    <w:bookmarkStart w:id="155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/>
          <w:bCs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/>
          <w:bCs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/>
          <w:bCs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/>
          <w:iCs/>
        </w:rPr>
        <w:t xml:space="preserve">v</w:t>
      </w:r>
      <w:r>
        <w:t xml:space="preserve">, где</w:t>
      </w:r>
      <w:r>
        <w:t xml:space="preserve"> </w:t>
      </w:r>
      <w:r>
        <w:rPr>
          <w:i/>
          <w:iCs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/>
          <w:bCs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/>
          <w:bCs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/>
          <w:bCs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/>
          <w:bCs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/>
          <w:bCs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/>
          <w:bCs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155"/>
    <w:bookmarkStart w:id="156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/>
          <w:bCs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156"/>
    <w:bookmarkStart w:id="157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/>
          <w:bCs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/>
          <w:bCs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/>
          <w:bCs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/>
          <w:bCs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/>
          <w:bCs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/>
          <w:bCs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/>
          <w:bCs/>
        </w:rPr>
        <w:t xml:space="preserve">Подвоз как пропускная способность (блок правил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supplyFlow</w:t>
      </w:r>
      <w:r>
        <w:rPr>
          <w:b/>
          <w:bCs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/>
          <w:bCs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/>
          <w:bCs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/>
          <w:bCs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157"/>
    <w:bookmarkStart w:id="158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  <w:tc>
          <w:tcPr/>
          <w:p>
            <w:pPr>
              <w:pStyle w:val="Compac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</w:pPr>
            <w:r>
              <w:t xml:space="preserve">0,25</w:t>
            </w:r>
          </w:p>
        </w:tc>
        <w:tc>
          <w:tcPr/>
          <w:p>
            <w:pPr>
              <w:pStyle w:val="Compac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марш</w:t>
            </w:r>
          </w:p>
        </w:tc>
        <w:tc>
          <w:tcPr/>
          <w:p>
            <w:pPr>
              <w:pStyle w:val="Compact"/>
            </w:pPr>
            <w:r>
              <w:t xml:space="preserve">0,02</w:t>
            </w:r>
          </w:p>
        </w:tc>
        <w:tc>
          <w:tcPr/>
          <w:p>
            <w:pPr>
              <w:pStyle w:val="Compac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отход</w:t>
            </w:r>
          </w:p>
        </w:tc>
        <w:tc>
          <w:tcPr/>
          <w:p>
            <w:pPr>
              <w:pStyle w:val="Compact"/>
            </w:pPr>
            <w:r>
              <w:t xml:space="preserve">0,15</w:t>
            </w:r>
          </w:p>
        </w:tc>
        <w:tc>
          <w:tcPr/>
          <w:p>
            <w:pPr>
              <w:pStyle w:val="Compac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158"/>
    <w:bookmarkStart w:id="159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159"/>
    <w:bookmarkStart w:id="160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/>
          <w:bCs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/>
          <w:bCs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/>
          <w:bCs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/>
          <w:bCs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Где</w:t>
            </w:r>
          </w:p>
        </w:tc>
        <w:tc>
          <w:tcPr/>
          <w:p>
            <w:pPr>
              <w:pStyle w:val="Compac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/>
          <w:bCs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/>
          <w:bCs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/>
          <w:bCs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160"/>
    <w:bookmarkStart w:id="161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t xml:space="preserve">Когда</w:t>
            </w:r>
          </w:p>
        </w:tc>
        <w:tc>
          <w:tcPr/>
          <w:p>
            <w:pPr>
              <w:pStyle w:val="Compac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марш</w:t>
            </w:r>
          </w:p>
        </w:tc>
        <w:tc>
          <w:tcPr/>
          <w:p>
            <w:pPr>
              <w:pStyle w:val="Compac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отход</w:t>
            </w:r>
          </w:p>
        </w:tc>
        <w:tc>
          <w:tcPr/>
          <w:p>
            <w:pPr>
              <w:pStyle w:val="Compac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161"/>
    <w:bookmarkStart w:id="162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162"/>
    <w:bookmarkEnd w:id="163"/>
    <w:bookmarkStart w:id="164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/>
          <w:bCs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/>
          <w:bCs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/>
          <w:bCs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/>
          <w:bCs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Вид</w:t>
            </w:r>
          </w:p>
        </w:tc>
        <w:tc>
          <w:tcPr/>
          <w:p>
            <w:pPr>
              <w:pStyle w:val="Compac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/>
          <w:bCs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/>
          <w:bCs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164"/>
    <w:bookmarkStart w:id="165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/>
          <w:bCs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</w:pPr>
            <w:r>
              <w:t xml:space="preserve">×0,3…1,6</w:t>
            </w:r>
          </w:p>
        </w:tc>
        <w:tc>
          <w:tcPr/>
          <w:p>
            <w:pPr>
              <w:pStyle w:val="Compac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</w:pPr>
            <w:r>
              <w:t xml:space="preserve">×0,5…2</w:t>
            </w:r>
          </w:p>
        </w:tc>
        <w:tc>
          <w:tcPr/>
          <w:p>
            <w:pPr>
              <w:pStyle w:val="Compac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</w:pPr>
            <w:r>
              <w:t xml:space="preserve">×0,5…2</w:t>
            </w:r>
          </w:p>
        </w:tc>
        <w:tc>
          <w:tcPr/>
          <w:p>
            <w:pPr>
              <w:pStyle w:val="Compac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</w:pPr>
            <w:r>
              <w:t xml:space="preserve">1,0…2,2</w:t>
            </w:r>
          </w:p>
        </w:tc>
        <w:tc>
          <w:tcPr/>
          <w:p>
            <w:pPr>
              <w:pStyle w:val="Compac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</w:pPr>
            <w:r>
              <w:t xml:space="preserve">0…0,8</w:t>
            </w:r>
          </w:p>
        </w:tc>
        <w:tc>
          <w:tcPr/>
          <w:p>
            <w:pPr>
              <w:pStyle w:val="Compac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</w:pPr>
            <w:r>
              <w:t xml:space="preserve">0,5…2,5</w:t>
            </w:r>
          </w:p>
        </w:tc>
        <w:tc>
          <w:tcPr/>
          <w:p>
            <w:pPr>
              <w:pStyle w:val="Compac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</w:pPr>
            <w:r>
              <w:t xml:space="preserve">×0,4…1,2</w:t>
            </w:r>
          </w:p>
        </w:tc>
        <w:tc>
          <w:tcPr/>
          <w:p>
            <w:pPr>
              <w:pStyle w:val="Compac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</w:pPr>
            <w:r>
              <w:t xml:space="preserve">0,05…0,6</w:t>
            </w:r>
          </w:p>
        </w:tc>
        <w:tc>
          <w:tcPr/>
          <w:p>
            <w:pPr>
              <w:pStyle w:val="Compac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</w:pPr>
            <w:r>
              <w:t xml:space="preserve">×0,4…2</w:t>
            </w:r>
          </w:p>
        </w:tc>
        <w:tc>
          <w:tcPr/>
          <w:p>
            <w:pPr>
              <w:pStyle w:val="Compac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</w:pPr>
            <w:r>
              <w:t xml:space="preserve">10…80</w:t>
            </w:r>
          </w:p>
        </w:tc>
        <w:tc>
          <w:tcPr/>
          <w:p>
            <w:pPr>
              <w:pStyle w:val="Compac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</w:pPr>
            <w:r>
              <w:t xml:space="preserve">15…150</w:t>
            </w:r>
          </w:p>
        </w:tc>
        <w:tc>
          <w:tcPr/>
          <w:p>
            <w:pPr>
              <w:pStyle w:val="Compac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/>
          <w:bCs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/>
          <w:bCs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/>
          <w:bCs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/>
          <w:bCs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/>
          <w:bCs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/>
          <w:bCs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/>
          <w:bCs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/>
          <w:bCs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отход</w:t>
            </w:r>
          </w:p>
        </w:tc>
        <w:tc>
          <w:tcPr/>
          <w:p>
            <w:pPr>
              <w:pStyle w:val="Compac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</w:pPr>
            <w:r>
              <w:t xml:space="preserve">2,28 (13)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марш</w:t>
            </w:r>
          </w:p>
        </w:tc>
        <w:tc>
          <w:tcPr/>
          <w:p>
            <w:pPr>
              <w:pStyle w:val="Compact"/>
            </w:pPr>
            <w:r>
              <w:t xml:space="preserve">СССР</w:t>
            </w:r>
          </w:p>
        </w:tc>
        <w:tc>
          <w:tcPr/>
          <w:p>
            <w:pPr>
              <w:pStyle w:val="Compact"/>
            </w:pPr>
            <w:r>
              <w:t xml:space="preserve">0,83 (1)</w:t>
            </w:r>
          </w:p>
        </w:tc>
        <w:tc>
          <w:tcPr/>
          <w:p>
            <w:pPr>
              <w:pStyle w:val="Compac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марш</w:t>
            </w:r>
          </w:p>
        </w:tc>
        <w:tc>
          <w:tcPr/>
          <w:p>
            <w:pPr>
              <w:pStyle w:val="Compac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/>
          <w:bCs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Режим</w:t>
            </w:r>
          </w:p>
        </w:tc>
        <w:tc>
          <w:tcPr/>
          <w:p>
            <w:pPr>
              <w:pStyle w:val="Compac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</w:pPr>
            <w:r>
              <w:t xml:space="preserve">×1,5</w:t>
            </w:r>
          </w:p>
        </w:tc>
        <w:tc>
          <w:tcPr/>
          <w:p>
            <w:pPr>
              <w:pStyle w:val="Compac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</w:pPr>
            <w:r>
              <w:t xml:space="preserve">×2,16</w:t>
            </w:r>
          </w:p>
        </w:tc>
        <w:tc>
          <w:tcPr/>
          <w:p>
            <w:pPr>
              <w:pStyle w:val="Compac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</w:pPr>
            <w:r>
              <w:t xml:space="preserve">×2</w:t>
            </w:r>
          </w:p>
        </w:tc>
        <w:tc>
          <w:tcPr/>
          <w:p>
            <w:pPr>
              <w:pStyle w:val="Compac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</w:pPr>
            <w:r>
              <w:t xml:space="preserve">×1,08</w:t>
            </w:r>
          </w:p>
        </w:tc>
        <w:tc>
          <w:tcPr/>
          <w:p>
            <w:pPr>
              <w:pStyle w:val="Compac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/>
          <w:bCs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</w:pPr>
            <w:r>
              <w:t xml:space="preserve">80,0 %; 48</w:t>
            </w:r>
          </w:p>
        </w:tc>
        <w:tc>
          <w:tcPr/>
          <w:p>
            <w:pPr>
              <w:pStyle w:val="Compac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км</w:t>
            </w:r>
          </w:p>
        </w:tc>
        <w:tc>
          <w:tcPr/>
          <w:p>
            <w:pPr>
              <w:pStyle w:val="Compact"/>
            </w:pPr>
            <w:r>
              <w:t xml:space="preserve">78,3 %; 49</w:t>
            </w:r>
          </w:p>
        </w:tc>
        <w:tc>
          <w:tcPr/>
          <w:p>
            <w:pPr>
              <w:pStyle w:val="Compac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 км</w:t>
            </w:r>
          </w:p>
        </w:tc>
        <w:tc>
          <w:tcPr/>
          <w:p>
            <w:pPr>
              <w:pStyle w:val="Compact"/>
            </w:pPr>
            <w:r>
              <w:t xml:space="preserve">77,8 %; 48</w:t>
            </w:r>
          </w:p>
        </w:tc>
        <w:tc>
          <w:tcPr/>
          <w:p>
            <w:pPr>
              <w:pStyle w:val="Compac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 км</w:t>
            </w:r>
          </w:p>
        </w:tc>
        <w:tc>
          <w:tcPr/>
          <w:p>
            <w:pPr>
              <w:pStyle w:val="Compact"/>
            </w:pPr>
            <w:r>
              <w:t xml:space="preserve">77,7 %; 51</w:t>
            </w:r>
          </w:p>
        </w:tc>
        <w:tc>
          <w:tcPr/>
          <w:p>
            <w:pPr>
              <w:pStyle w:val="Compac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</w:pPr>
            <w:r>
              <w:t xml:space="preserve">80,0 %; 48</w:t>
            </w:r>
          </w:p>
        </w:tc>
        <w:tc>
          <w:tcPr/>
          <w:p>
            <w:pPr>
              <w:pStyle w:val="Compac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</w:pPr>
            <w:r>
              <w:t xml:space="preserve">77,7 %; 50</w:t>
            </w:r>
          </w:p>
        </w:tc>
        <w:tc>
          <w:tcPr/>
          <w:p>
            <w:pPr>
              <w:pStyle w:val="Compac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</w:pPr>
            <w:r>
              <w:t xml:space="preserve">77,9 %; 43</w:t>
            </w:r>
          </w:p>
        </w:tc>
        <w:tc>
          <w:tcPr/>
          <w:p>
            <w:pPr>
              <w:pStyle w:val="Compac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/>
          <w:bCs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</w:pPr>
            <w:r>
              <w:t xml:space="preserve">−9,2</w:t>
            </w:r>
          </w:p>
        </w:tc>
        <w:tc>
          <w:tcPr/>
          <w:p>
            <w:pPr>
              <w:pStyle w:val="Compact"/>
            </w:pPr>
            <w:r>
              <w:t xml:space="preserve">−6,5</w:t>
            </w:r>
          </w:p>
        </w:tc>
        <w:tc>
          <w:tcPr/>
          <w:p>
            <w:pPr>
              <w:pStyle w:val="Compac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</w:pPr>
            <w:r>
              <w:t xml:space="preserve">−7,5</w:t>
            </w:r>
          </w:p>
        </w:tc>
        <w:tc>
          <w:tcPr/>
          <w:p>
            <w:pPr>
              <w:pStyle w:val="Compact"/>
            </w:pPr>
            <w:r>
              <w:t xml:space="preserve">−14,0</w:t>
            </w:r>
          </w:p>
        </w:tc>
        <w:tc>
          <w:tcPr/>
          <w:p>
            <w:pPr>
              <w:pStyle w:val="Compac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</w:pPr>
            <w:r>
              <w:t xml:space="preserve">−9,5</w:t>
            </w:r>
          </w:p>
        </w:tc>
        <w:tc>
          <w:tcPr/>
          <w:p>
            <w:pPr>
              <w:pStyle w:val="Compact"/>
            </w:pPr>
            <w:r>
              <w:t xml:space="preserve">−3,2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</w:pPr>
            <w:r>
              <w:t xml:space="preserve">−4,8</w:t>
            </w:r>
          </w:p>
        </w:tc>
        <w:tc>
          <w:tcPr/>
          <w:p>
            <w:pPr>
              <w:pStyle w:val="Compact"/>
            </w:pPr>
            <w:r>
              <w:t xml:space="preserve">−0,7</w:t>
            </w:r>
          </w:p>
        </w:tc>
        <w:tc>
          <w:tcPr/>
          <w:p>
            <w:pPr>
              <w:pStyle w:val="Compac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</w:pPr>
            <w:r>
              <w:t xml:space="preserve">−1,8</w:t>
            </w:r>
          </w:p>
        </w:tc>
        <w:tc>
          <w:tcPr/>
          <w:p>
            <w:pPr>
              <w:pStyle w:val="Compact"/>
            </w:pPr>
            <w:r>
              <w:t xml:space="preserve">+1,2</w:t>
            </w:r>
          </w:p>
        </w:tc>
        <w:tc>
          <w:tcPr/>
          <w:p>
            <w:pPr>
              <w:pStyle w:val="Compac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</w:pPr>
            <w:r>
              <w:t xml:space="preserve">0,0</w:t>
            </w:r>
          </w:p>
        </w:tc>
        <w:tc>
          <w:tcPr/>
          <w:p>
            <w:pPr>
              <w:pStyle w:val="Compact"/>
            </w:pPr>
            <w:r>
              <w:t xml:space="preserve">−0,6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</w:pPr>
            <w:r>
              <w:t xml:space="preserve">−0,7</w:t>
            </w:r>
          </w:p>
        </w:tc>
        <w:tc>
          <w:tcPr/>
          <w:p>
            <w:pPr>
              <w:pStyle w:val="Compact"/>
            </w:pPr>
            <w:r>
              <w:t xml:space="preserve">0,0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+1,4</w:t>
            </w:r>
          </w:p>
        </w:tc>
        <w:tc>
          <w:tcPr/>
          <w:p>
            <w:pPr>
              <w:pStyle w:val="Compact"/>
            </w:pPr>
            <w:r>
              <w:t xml:space="preserve">−0,3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</w:pPr>
            <w:r>
              <w:t xml:space="preserve">−1,6</w:t>
            </w:r>
          </w:p>
        </w:tc>
        <w:tc>
          <w:tcPr/>
          <w:p>
            <w:pPr>
              <w:pStyle w:val="Compact"/>
            </w:pPr>
            <w:r>
              <w:t xml:space="preserve">+0,7</w:t>
            </w:r>
          </w:p>
        </w:tc>
        <w:tc>
          <w:tcPr/>
          <w:p>
            <w:pPr>
              <w:pStyle w:val="Compac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</w:pPr>
            <w:r>
              <w:t xml:space="preserve">≈ 0</w:t>
            </w:r>
          </w:p>
        </w:tc>
        <w:tc>
          <w:tcPr/>
          <w:p>
            <w:pPr>
              <w:pStyle w:val="Compact"/>
            </w:pPr>
            <w:r>
              <w:t xml:space="preserve">≈ 0</w:t>
            </w:r>
          </w:p>
        </w:tc>
        <w:tc>
          <w:tcPr/>
          <w:p>
            <w:pPr>
              <w:pStyle w:val="Compact"/>
            </w:pPr>
            <w:r>
              <w:t xml:space="preserve">≈ 0</w:t>
            </w:r>
          </w:p>
        </w:tc>
      </w:tr>
    </w:tbl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/>
          <w:iCs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/>
          <w:bCs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0,9</w:t>
            </w:r>
          </w:p>
        </w:tc>
        <w:tc>
          <w:tcPr/>
          <w:p>
            <w:pPr>
              <w:pStyle w:val="Compact"/>
            </w:pPr>
            <w:r>
              <w:t xml:space="preserve">79 % / 76 %</w:t>
            </w:r>
          </w:p>
        </w:tc>
        <w:tc>
          <w:tcPr/>
          <w:p>
            <w:pPr>
              <w:pStyle w:val="Compact"/>
            </w:pPr>
            <w:r>
              <w:t xml:space="preserve">89 % / 43 %</w:t>
            </w:r>
          </w:p>
        </w:tc>
        <w:tc>
          <w:tcPr/>
          <w:p>
            <w:pPr>
              <w:pStyle w:val="Compac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1,09</w:t>
            </w:r>
          </w:p>
        </w:tc>
        <w:tc>
          <w:tcPr/>
          <w:p>
            <w:pPr>
              <w:pStyle w:val="Compact"/>
            </w:pPr>
            <w:r>
              <w:t xml:space="preserve">80 % / 84 %</w:t>
            </w:r>
          </w:p>
        </w:tc>
        <w:tc>
          <w:tcPr/>
          <w:p>
            <w:pPr>
              <w:pStyle w:val="Compact"/>
            </w:pPr>
            <w:r>
              <w:t xml:space="preserve">89 % / 37 %</w:t>
            </w:r>
          </w:p>
        </w:tc>
        <w:tc>
          <w:tcPr/>
          <w:p>
            <w:pPr>
              <w:pStyle w:val="Compac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1,2</w:t>
            </w:r>
          </w:p>
        </w:tc>
        <w:tc>
          <w:tcPr/>
          <w:p>
            <w:pPr>
              <w:pStyle w:val="Compact"/>
            </w:pPr>
            <w:r>
              <w:t xml:space="preserve">79 % / 87 %</w:t>
            </w:r>
          </w:p>
        </w:tc>
        <w:tc>
          <w:tcPr/>
          <w:p>
            <w:pPr>
              <w:pStyle w:val="Compact"/>
            </w:pPr>
            <w:r>
              <w:t xml:space="preserve">81 % / 20 %</w:t>
            </w:r>
          </w:p>
        </w:tc>
        <w:tc>
          <w:tcPr/>
          <w:p>
            <w:pPr>
              <w:pStyle w:val="Compac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1,3</w:t>
            </w:r>
          </w:p>
        </w:tc>
        <w:tc>
          <w:tcPr/>
          <w:p>
            <w:pPr>
              <w:pStyle w:val="Compact"/>
            </w:pPr>
            <w:r>
              <w:t xml:space="preserve">79 % / 82 %</w:t>
            </w:r>
          </w:p>
        </w:tc>
        <w:tc>
          <w:tcPr/>
          <w:p>
            <w:pPr>
              <w:pStyle w:val="Compact"/>
            </w:pPr>
            <w:r>
              <w:t xml:space="preserve">83 % / 40 %</w:t>
            </w:r>
          </w:p>
        </w:tc>
        <w:tc>
          <w:tcPr/>
          <w:p>
            <w:pPr>
              <w:pStyle w:val="Compac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1,4</w:t>
            </w:r>
          </w:p>
        </w:tc>
        <w:tc>
          <w:tcPr/>
          <w:p>
            <w:pPr>
              <w:pStyle w:val="Compact"/>
            </w:pPr>
            <w:r>
              <w:t xml:space="preserve">76 % / 80 %</w:t>
            </w:r>
          </w:p>
        </w:tc>
        <w:tc>
          <w:tcPr/>
          <w:p>
            <w:pPr>
              <w:pStyle w:val="Compact"/>
            </w:pPr>
            <w:r>
              <w:t xml:space="preserve">83 % / 43 %</w:t>
            </w:r>
          </w:p>
        </w:tc>
        <w:tc>
          <w:tcPr/>
          <w:p>
            <w:pPr>
              <w:pStyle w:val="Compac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1,5</w:t>
            </w:r>
          </w:p>
        </w:tc>
        <w:tc>
          <w:tcPr/>
          <w:p>
            <w:pPr>
              <w:pStyle w:val="Compact"/>
            </w:pPr>
            <w:r>
              <w:t xml:space="preserve">75 % / 89 %</w:t>
            </w:r>
          </w:p>
        </w:tc>
        <w:tc>
          <w:tcPr/>
          <w:p>
            <w:pPr>
              <w:pStyle w:val="Compact"/>
            </w:pPr>
            <w:r>
              <w:t xml:space="preserve">84 % / 50 %</w:t>
            </w:r>
          </w:p>
        </w:tc>
        <w:tc>
          <w:tcPr/>
          <w:p>
            <w:pPr>
              <w:pStyle w:val="Compac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/>
          <w:bCs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packages/sim/data/rules/norms.json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/>
          <w:bCs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</w:pPr>
            <w:r>
              <w:t xml:space="preserve">30 сут</w:t>
            </w:r>
          </w:p>
        </w:tc>
        <w:tc>
          <w:tcPr/>
          <w:p>
            <w:pPr>
              <w:pStyle w:val="Compac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96 ч</w:t>
            </w:r>
          </w:p>
        </w:tc>
        <w:tc>
          <w:tcPr/>
          <w:p>
            <w:pPr>
              <w:pStyle w:val="Compac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9 км</w:t>
            </w:r>
          </w:p>
        </w:tc>
        <w:tc>
          <w:tcPr/>
          <w:p>
            <w:pPr>
              <w:pStyle w:val="Compac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</w:pPr>
            <w:r>
              <w:t xml:space="preserve">24 ч</w:t>
            </w:r>
          </w:p>
        </w:tc>
        <w:tc>
          <w:tcPr/>
          <w:p>
            <w:pPr>
              <w:pStyle w:val="Compac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</w:pPr>
            <w:r>
              <w:t xml:space="preserve">1 запр.</w:t>
            </w:r>
          </w:p>
        </w:tc>
        <w:tc>
          <w:tcPr/>
          <w:p>
            <w:pPr>
              <w:pStyle w:val="Compac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165"/>
    <w:bookmarkStart w:id="169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</w:p>
    <w:bookmarkStart w:id="166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53 действующих формирования (24 советских, 29 немецких), 245 приказов, 223 исторических</w:t>
      </w:r>
      <w:r>
        <w:t xml:space="preserve"> </w:t>
      </w:r>
      <w:r>
        <w:t xml:space="preserve">положения для сравнения. В допуске ±10 км —</w:t>
      </w:r>
      <w:r>
        <w:t xml:space="preserve"> </w:t>
      </w:r>
      <w:r>
        <w:rPr>
          <w:b/>
          <w:bCs/>
        </w:rPr>
        <w:t xml:space="preserve">75–82 %</w:t>
      </w:r>
      <w:r>
        <w:t xml:space="preserve"> </w:t>
      </w:r>
      <w:r>
        <w:t xml:space="preserve">(по прогонам 82, 82, 81, 75, 81 %).</w:t>
      </w:r>
      <w:r>
        <w:t xml:space="preserve"> </w:t>
      </w: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</w:pPr>
            <w:r>
              <w:t xml:space="preserve">19.04</w:t>
            </w:r>
          </w:p>
        </w:tc>
        <w:tc>
          <w:tcPr/>
          <w:p>
            <w:pPr>
              <w:pStyle w:val="Compac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</w:pPr>
            <w:r>
              <w:t xml:space="preserve">18.04</w:t>
            </w:r>
          </w:p>
        </w:tc>
        <w:tc>
          <w:tcPr/>
          <w:p>
            <w:pPr>
              <w:pStyle w:val="Compac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</w:pPr>
            <w:r>
              <w:t xml:space="preserve">21.04</w:t>
            </w:r>
          </w:p>
        </w:tc>
        <w:tc>
          <w:tcPr/>
          <w:p>
            <w:pPr>
              <w:pStyle w:val="Compact"/>
            </w:pPr>
            <w:r>
              <w:t xml:space="preserve">+1 +1 +1 0 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</w:pPr>
            <w:r>
              <w:t xml:space="preserve">21.04</w:t>
            </w:r>
          </w:p>
        </w:tc>
        <w:tc>
          <w:tcPr/>
          <w:p>
            <w:pPr>
              <w:pStyle w:val="Compac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</w:pPr>
            <w:r>
              <w:t xml:space="preserve">24.04</w:t>
            </w:r>
          </w:p>
        </w:tc>
        <w:tc>
          <w:tcPr/>
          <w:p>
            <w:pPr>
              <w:pStyle w:val="Compact"/>
            </w:pPr>
            <w:r>
              <w:t xml:space="preserve">+2 +1 −2 0 −2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</w:pPr>
            <w:r>
              <w:t xml:space="preserve">24.04</w:t>
            </w:r>
          </w:p>
        </w:tc>
        <w:tc>
          <w:tcPr/>
          <w:p>
            <w:pPr>
              <w:pStyle w:val="Compact"/>
            </w:pPr>
            <w:r>
              <w:t xml:space="preserve">−3 0 +3 +3 +2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</w:pPr>
            <w:r>
              <w:t xml:space="preserve">25.04</w:t>
            </w:r>
          </w:p>
        </w:tc>
        <w:tc>
          <w:tcPr/>
          <w:p>
            <w:pPr>
              <w:pStyle w:val="Compac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</w:pPr>
            <w:r>
              <w:t xml:space="preserve">25.04</w:t>
            </w:r>
          </w:p>
        </w:tc>
        <w:tc>
          <w:tcPr/>
          <w:p>
            <w:pPr>
              <w:pStyle w:val="Compac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</w:pPr>
            <w:r>
              <w:t xml:space="preserve">26.04</w:t>
            </w:r>
          </w:p>
        </w:tc>
        <w:tc>
          <w:tcPr/>
          <w:p>
            <w:pPr>
              <w:pStyle w:val="Compac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</w:pPr>
            <w:r>
              <w:t xml:space="preserve">30.04</w:t>
            </w:r>
          </w:p>
        </w:tc>
        <w:tc>
          <w:tcPr/>
          <w:p>
            <w:pPr>
              <w:pStyle w:val="Compact"/>
            </w:pPr>
            <w:r>
              <w:t xml:space="preserve">−3 −2 −2 −1 −2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</w:pPr>
            <w:r>
              <w:t xml:space="preserve">30.04</w:t>
            </w:r>
          </w:p>
        </w:tc>
        <w:tc>
          <w:tcPr/>
          <w:p>
            <w:pPr>
              <w:pStyle w:val="Compact"/>
            </w:pPr>
            <w:r>
              <w:t xml:space="preserve">−2 −1 −2 −1 −1</w:t>
            </w:r>
          </w:p>
        </w:tc>
      </w:tr>
    </w:tbl>
    <w:p>
      <w:pPr>
        <w:pStyle w:val="BodyText"/>
      </w:pPr>
      <w:r>
        <w:rPr>
          <w:b/>
          <w:bCs/>
        </w:rPr>
        <w:t xml:space="preserve">48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двух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1–3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166"/>
    <w:bookmarkStart w:id="167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/>
          <w:bCs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</w:pPr>
            <w:r>
              <w:t xml:space="preserve">26.04</w:t>
            </w:r>
          </w:p>
        </w:tc>
        <w:tc>
          <w:tcPr/>
          <w:p>
            <w:pPr>
              <w:pStyle w:val="Compac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</w:pPr>
            <w:r>
              <w:t xml:space="preserve">29.04</w:t>
            </w:r>
          </w:p>
        </w:tc>
        <w:tc>
          <w:tcPr/>
          <w:p>
            <w:pPr>
              <w:pStyle w:val="Compac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</w:pPr>
            <w:r>
              <w:t xml:space="preserve">29.04</w:t>
            </w:r>
          </w:p>
        </w:tc>
        <w:tc>
          <w:tcPr/>
          <w:p>
            <w:pPr>
              <w:pStyle w:val="Compac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</w:pPr>
            <w:r>
              <w:t xml:space="preserve">30.04</w:t>
            </w:r>
          </w:p>
        </w:tc>
        <w:tc>
          <w:tcPr/>
          <w:p>
            <w:pPr>
              <w:pStyle w:val="Compac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</w:pPr>
            <w:r>
              <w:t xml:space="preserve">2.05</w:t>
            </w:r>
          </w:p>
        </w:tc>
        <w:tc>
          <w:tcPr/>
          <w:p>
            <w:pPr>
              <w:pStyle w:val="Compac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</w:pPr>
            <w:r>
              <w:t xml:space="preserve">2.05</w:t>
            </w:r>
          </w:p>
        </w:tc>
        <w:tc>
          <w:tcPr/>
          <w:p>
            <w:pPr>
              <w:pStyle w:val="Compac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167"/>
    <w:bookmarkStart w:id="168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дивизиями) и три части, выделяемые из армий в ходе операции (раздел 19.10), 238 приказов, 314</w:t>
      </w:r>
      <w:r>
        <w:t xml:space="preserve"> </w:t>
      </w:r>
      <w:r>
        <w:t xml:space="preserve">положений для сравнения. В допуске ±10 км —</w:t>
      </w:r>
      <w:r>
        <w:t xml:space="preserve"> </w:t>
      </w:r>
      <w:r>
        <w:rPr>
          <w:b/>
          <w:bCs/>
        </w:rPr>
        <w:t xml:space="preserve">58–62 %</w:t>
      </w:r>
      <w:r>
        <w:t xml:space="preserve"> </w:t>
      </w:r>
      <w:r>
        <w:t xml:space="preserve">(по прогонам 61, 62, 59, 58, 60 %; без множителя</w:t>
      </w:r>
      <w:r>
        <w:t xml:space="preserve"> </w:t>
      </w:r>
      <w:r>
        <w:t xml:space="preserve">режима — 47 % в среднем по пяти прогонам).</w:t>
      </w:r>
    </w:p>
    <w:p>
      <w:pPr>
        <w:pStyle w:val="BodyText"/>
      </w:pPr>
      <w:r>
        <w:rPr>
          <w:b/>
          <w:bCs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</w:pPr>
            <w:r>
              <w:t xml:space="preserve">15.01</w:t>
            </w:r>
          </w:p>
        </w:tc>
        <w:tc>
          <w:tcPr/>
          <w:p>
            <w:pPr>
              <w:pStyle w:val="Compac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</w:pPr>
            <w:r>
              <w:t xml:space="preserve">16.01</w:t>
            </w:r>
          </w:p>
        </w:tc>
        <w:tc>
          <w:tcPr/>
          <w:p>
            <w:pPr>
              <w:pStyle w:val="Compac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</w:pPr>
            <w:r>
              <w:t xml:space="preserve">17.01</w:t>
            </w:r>
          </w:p>
        </w:tc>
        <w:tc>
          <w:tcPr/>
          <w:p>
            <w:pPr>
              <w:pStyle w:val="Compac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</w:pPr>
            <w:r>
              <w:t xml:space="preserve">17.01</w:t>
            </w:r>
          </w:p>
        </w:tc>
        <w:tc>
          <w:tcPr/>
          <w:p>
            <w:pPr>
              <w:pStyle w:val="Compac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</w:pPr>
            <w:r>
              <w:t xml:space="preserve">19.01</w:t>
            </w:r>
          </w:p>
        </w:tc>
        <w:tc>
          <w:tcPr/>
          <w:p>
            <w:pPr>
              <w:pStyle w:val="Compact"/>
            </w:pPr>
            <w:r>
              <w:t xml:space="preserve">−1 −1 — −1 −1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</w:pPr>
            <w:r>
              <w:t xml:space="preserve">19.01</w:t>
            </w:r>
          </w:p>
        </w:tc>
        <w:tc>
          <w:tcPr/>
          <w:p>
            <w:pPr>
              <w:pStyle w:val="Compac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</w:pPr>
            <w:r>
              <w:t xml:space="preserve">22.01</w:t>
            </w:r>
          </w:p>
        </w:tc>
        <w:tc>
          <w:tcPr/>
          <w:p>
            <w:pPr>
              <w:pStyle w:val="Compac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</w:pPr>
            <w:r>
              <w:t xml:space="preserve">23.01</w:t>
            </w:r>
          </w:p>
        </w:tc>
        <w:tc>
          <w:tcPr/>
          <w:p>
            <w:pPr>
              <w:pStyle w:val="Compact"/>
            </w:pPr>
            <w:r>
              <w:t xml:space="preserve">0 — +1 — 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</w:pPr>
            <w:r>
              <w:t xml:space="preserve">24.01</w:t>
            </w:r>
          </w:p>
        </w:tc>
        <w:tc>
          <w:tcPr/>
          <w:p>
            <w:pPr>
              <w:pStyle w:val="Compact"/>
            </w:pPr>
            <w:r>
              <w:t xml:space="preserve">−3 −4 −4 −5 −4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</w:pPr>
            <w:r>
              <w:t xml:space="preserve">25.01</w:t>
            </w:r>
          </w:p>
        </w:tc>
        <w:tc>
          <w:tcPr/>
          <w:p>
            <w:pPr>
              <w:pStyle w:val="Compact"/>
            </w:pPr>
            <w:r>
              <w:t xml:space="preserve">+3 — — +5 +5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</w:pPr>
            <w:r>
              <w:t xml:space="preserve">28.01</w:t>
            </w:r>
          </w:p>
        </w:tc>
        <w:tc>
          <w:tcPr/>
          <w:p>
            <w:pPr>
              <w:pStyle w:val="Compac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</w:pPr>
            <w:r>
              <w:t xml:space="preserve">29.01</w:t>
            </w:r>
          </w:p>
        </w:tc>
        <w:tc>
          <w:tcPr/>
          <w:p>
            <w:pPr>
              <w:pStyle w:val="Compact"/>
            </w:pPr>
            <w:r>
              <w:t xml:space="preserve">0 0 — +2 0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</w:pPr>
            <w:r>
              <w:t xml:space="preserve">31.01</w:t>
            </w:r>
          </w:p>
        </w:tc>
        <w:tc>
          <w:tcPr/>
          <w:p>
            <w:pPr>
              <w:pStyle w:val="Compact"/>
            </w:pPr>
            <w:r>
              <w:t xml:space="preserve">+2 +2 0 — —</w:t>
            </w:r>
          </w:p>
        </w:tc>
      </w:tr>
    </w:tbl>
    <w:p>
      <w:pPr>
        <w:pStyle w:val="BodyText"/>
      </w:pPr>
      <w:r>
        <w:rPr>
          <w:b/>
          <w:bCs/>
        </w:rPr>
        <w:t xml:space="preserve">28 из 65</w:t>
      </w:r>
      <w:r>
        <w:t xml:space="preserve"> </w:t>
      </w:r>
      <w:r>
        <w:t xml:space="preserve">в пределах двух суток (без множителя режима — 19, без выделения частей — 25): Кельце,</w:t>
      </w:r>
      <w:r>
        <w:t xml:space="preserve"> </w:t>
      </w:r>
      <w:r>
        <w:t xml:space="preserve">Радом, Варшава — во всех прогонах, Лодзь и прорыв Мезерицкого укреплённого района — в четырёх, выход</w:t>
      </w:r>
      <w:r>
        <w:t xml:space="preserve"> </w:t>
      </w:r>
      <w:r>
        <w:t xml:space="preserve">подвижного отряда 5 УА к Одеру у Киница — в трёх, Калиш — в двух. Познань окружается в трёх прогонах,</w:t>
      </w:r>
      <w:r>
        <w:t xml:space="preserve"> </w:t>
      </w:r>
      <w:r>
        <w:t xml:space="preserve">но на 3–5 суток позже истории: корпуса подходят к городу, а кольцо замыкается, только когда земля</w:t>
      </w:r>
      <w:r>
        <w:t xml:space="preserve"> </w:t>
      </w:r>
      <w:r>
        <w:t xml:space="preserve">вокруг переходит к советской стороне. На юге модель быстрее истории: Ченстохов — на 3 суток раньше,</w:t>
      </w:r>
      <w:r>
        <w:t xml:space="preserve"> </w:t>
      </w:r>
      <w:r>
        <w:t xml:space="preserve">Оппельн — на 3–5, Краков и Катовице — на 6. Не наступает выход 4 ТА к Одеру у Штейнау (4 ТА стоит у</w:t>
      </w:r>
      <w:r>
        <w:t xml:space="preserve"> </w:t>
      </w:r>
      <w:r>
        <w:t xml:space="preserve">Кельце до приказа 17.01, а 21.01 остаётся без горючего — раздел 21).</w:t>
      </w:r>
    </w:p>
    <w:p>
      <w:pPr>
        <w:pStyle w:val="BodyText"/>
      </w:pPr>
      <w:r>
        <w:rPr>
          <w:b/>
          <w:bCs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168"/>
    <w:bookmarkEnd w:id="169"/>
    <w:bookmarkStart w:id="170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pStyle w:val="Compact"/>
        <w:numPr>
          <w:ilvl w:val="0"/>
          <w:numId w:val="1023"/>
        </w:numPr>
      </w:pPr>
      <w:r>
        <w:t xml:space="preserve">дистанция соприкосновения — 1,5 км вместо 6;</w:t>
      </w:r>
    </w:p>
    <w:p>
      <w:pPr>
        <w:pStyle w:val="Compact"/>
        <w:numPr>
          <w:ilvl w:val="0"/>
          <w:numId w:val="1023"/>
        </w:numPr>
      </w:pPr>
      <w:r>
        <w:t xml:space="preserve">«держаться» — не отходить по своей воле, но под натиском уступать кварталы;</w:t>
      </w:r>
    </w:p>
    <w:p>
      <w:pPr>
        <w:pStyle w:val="Compact"/>
        <w:numPr>
          <w:ilvl w:val="0"/>
          <w:numId w:val="1023"/>
        </w:numPr>
      </w:pPr>
      <w:r>
        <w:t xml:space="preserve">крепости не обходятся: в городе гарнизоны и есть цель;</w:t>
      </w:r>
    </w:p>
    <w:p>
      <w:pPr>
        <w:pStyle w:val="Compact"/>
        <w:numPr>
          <w:ilvl w:val="0"/>
          <w:numId w:val="1023"/>
        </w:numPr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170"/>
    <w:bookmarkStart w:id="171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/>
          <w:bCs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171"/>
    <w:bookmarkStart w:id="174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172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0,75.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/>
          <w:bCs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3–5 суток позже истории: кольцо замыкается через переход земли, а не по положению корпусов.</w:t>
      </w:r>
    </w:p>
    <w:p>
      <w:pPr>
        <w:numPr>
          <w:ilvl w:val="0"/>
          <w:numId w:val="1024"/>
        </w:numPr>
      </w:pPr>
      <w:r>
        <w:rPr>
          <w:b/>
          <w:bCs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</w:p>
    <w:p>
      <w:pPr>
        <w:pStyle w:val="FirstParagraph"/>
      </w:pPr>
      <w:r>
        <w:rPr>
          <w:b/>
          <w:bCs/>
        </w:rPr>
        <w:t xml:space="preserve">Стратегический показ.</w:t>
      </w:r>
      <w:r>
        <w:t xml:space="preserve"> </w:t>
      </w:r>
      <w:r>
        <w:t xml:space="preserve">Надпись фронта стоит в основной массе его войск на фронте, одна на</w:t>
      </w:r>
      <w:r>
        <w:t xml:space="preserve"> </w:t>
      </w:r>
      <w:r>
        <w:t xml:space="preserve">весь фронт: у группировки, разорванной на части (группа армий «Висла» после прорыва 1-го</w:t>
      </w:r>
      <w:r>
        <w:t xml:space="preserve"> </w:t>
      </w:r>
      <w:r>
        <w:t xml:space="preserve">Белорусского фронта), она стоит у одной из них, обычно у самой крупной. Рубеж обороны —</w:t>
      </w:r>
      <w:r>
        <w:t xml:space="preserve"> </w:t>
      </w:r>
      <w:r>
        <w:t xml:space="preserve">прямая поперёк направления на противника; у армии, растянутой на 60–70 км (9-я армия к 23 апреля),</w:t>
      </w:r>
      <w:r>
        <w:t xml:space="preserve"> </w:t>
      </w:r>
      <w:r>
        <w:t xml:space="preserve">он проходит и по чужим позициям.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172"/>
    <w:bookmarkStart w:id="173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из базы в сценарий переносятся численность, танки, орудия</w:t>
            </w:r>
          </w:p>
        </w:tc>
        <w:tc>
          <w:tcPr/>
          <w:p>
            <w:pPr>
              <w:pStyle w:val="Compact"/>
            </w:pPr>
            <w:r>
              <w:t xml:space="preserve">состав, подчинённость и задачи из базы</w:t>
            </w:r>
          </w:p>
        </w:tc>
      </w:tr>
    </w:tbl>
    <w:bookmarkEnd w:id="173"/>
    <w:bookmarkEnd w:id="174"/>
    <w:bookmarkStart w:id="175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Путь</w:t>
            </w:r>
          </w:p>
        </w:tc>
        <w:tc>
          <w:tcPr/>
          <w:p>
            <w:pPr>
              <w:pStyle w:val="Compac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</w:pPr>
            <w:r>
              <w:t xml:space="preserve">разделы операций в базе, разбор документов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npm run sim:demo                                   # три сценария, отчёты и карты</w:t>
      </w:r>
      <w:r>
        <w:br/>
      </w:r>
      <w:r>
        <w:rPr>
          <w:rStyle w:val="VerbatimChar"/>
        </w:rPr>
        <w:t xml:space="preserve">npm run sim:history -- --scenario berlin-1945-tasks --runs 5</w:t>
      </w:r>
      <w:r>
        <w:br/>
      </w:r>
      <w:r>
        <w:rPr>
          <w:rStyle w:val="VerbatimChar"/>
        </w:rPr>
        <w:t xml:space="preserve">npm run sim:calibrate -- --evals 200 --seeds 2     # ~11 минут; --patch '{"orderPartialTurn":true}' — подбор с правкой правил</w:t>
      </w:r>
      <w:r>
        <w:br/>
      </w:r>
      <w:r>
        <w:rPr>
          <w:rStyle w:val="VerbatimChar"/>
        </w:rPr>
        <w:t xml:space="preserve">npm run sim:calibrate-regimes                      # ~14 минут; множители режимов (раздел 19.9), --write — в правила</w:t>
      </w:r>
      <w:r>
        <w:br/>
      </w:r>
      <w:r>
        <w:rPr>
          <w:rStyle w:val="VerbatimChar"/>
        </w:rPr>
        <w:t xml:space="preserve">npm test</w:t>
      </w:r>
    </w:p>
    <w:bookmarkEnd w:id="175"/>
    <w:bookmarkStart w:id="178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</w:pPr>
            <w:hyperlink r:id="rId135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</w:pPr>
            <w:hyperlink r:id="rId126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</w:pPr>
            <w:hyperlink r:id="rId128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</w:pPr>
            <w:hyperlink r:id="rId130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</w:pPr>
            <w:hyperlink r:id="rId176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177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</w:pPr>
            <w:hyperlink r:id="rId136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замысел и этапы переигровки</w:t>
            </w:r>
          </w:p>
        </w:tc>
      </w:tr>
    </w:tbl>
    <w:bookmarkEnd w:id="178"/>
    <w:bookmarkStart w:id="179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179"/>
    <w:bookmarkEnd w:id="18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2" Target="media/rId122.jpg" /><Relationship Type="http://schemas.openxmlformats.org/officeDocument/2006/relationships/image" Id="rId17" Target="media/rId17.jpg" /><Relationship Type="http://schemas.openxmlformats.org/officeDocument/2006/relationships/image" Id="rId14" Target="media/rId14.jpg" /><Relationship Type="http://schemas.openxmlformats.org/officeDocument/2006/relationships/image" Id="rId11" Target="media/rId11.jpg" /><Relationship Type="http://schemas.openxmlformats.org/officeDocument/2006/relationships/image" Id="rId22" Target="media/rId22.jpg" /><Relationship Type="http://schemas.openxmlformats.org/officeDocument/2006/relationships/image" Id="rId72" Target="media/rId72.jpg" /><Relationship Type="http://schemas.openxmlformats.org/officeDocument/2006/relationships/image" Id="rId63" Target="media/rId63.jpg" /><Relationship Type="http://schemas.openxmlformats.org/officeDocument/2006/relationships/image" Id="rId66" Target="media/rId66.jpg" /><Relationship Type="http://schemas.openxmlformats.org/officeDocument/2006/relationships/image" Id="rId69" Target="media/rId69.jpg" /><Relationship Type="http://schemas.openxmlformats.org/officeDocument/2006/relationships/image" Id="rId86" Target="media/rId86.jpg" /><Relationship Type="http://schemas.openxmlformats.org/officeDocument/2006/relationships/image" Id="rId117" Target="media/rId117.jpg" /><Relationship Type="http://schemas.openxmlformats.org/officeDocument/2006/relationships/image" Id="rId90" Target="media/rId90.jpg" /><Relationship Type="http://schemas.openxmlformats.org/officeDocument/2006/relationships/image" Id="rId28" Target="media/rId28.jpg" /><Relationship Type="http://schemas.openxmlformats.org/officeDocument/2006/relationships/image" Id="rId35" Target="media/rId35.jpg" /><Relationship Type="http://schemas.openxmlformats.org/officeDocument/2006/relationships/image" Id="rId79" Target="media/rId79.jpg" /><Relationship Type="http://schemas.openxmlformats.org/officeDocument/2006/relationships/image" Id="rId76" Target="media/rId76.jpg" /><Relationship Type="http://schemas.openxmlformats.org/officeDocument/2006/relationships/image" Id="rId110" Target="media/rId110.jpg" /><Relationship Type="http://schemas.openxmlformats.org/officeDocument/2006/relationships/image" Id="rId99" Target="media/rId99.jpg" /><Relationship Type="http://schemas.openxmlformats.org/officeDocument/2006/relationships/image" Id="rId93" Target="media/rId93.jpg" /><Relationship Type="http://schemas.openxmlformats.org/officeDocument/2006/relationships/image" Id="rId96" Target="media/rId96.jpg" /><Relationship Type="http://schemas.openxmlformats.org/officeDocument/2006/relationships/image" Id="rId83" Target="media/rId83.jpg" /><Relationship Type="http://schemas.openxmlformats.org/officeDocument/2006/relationships/image" Id="rId107" Target="media/rId107.jpg" /><Relationship Type="http://schemas.openxmlformats.org/officeDocument/2006/relationships/image" Id="rId114" Target="media/rId114.jpg" /><Relationship Type="http://schemas.openxmlformats.org/officeDocument/2006/relationships/image" Id="rId103" Target="media/rId103.jpg" /><Relationship Type="http://schemas.openxmlformats.org/officeDocument/2006/relationships/image" Id="rId57" Target="media/rId57.jpg" /><Relationship Type="http://schemas.openxmlformats.org/officeDocument/2006/relationships/image" Id="rId45" Target="media/rId45.jpg" /><Relationship Type="http://schemas.openxmlformats.org/officeDocument/2006/relationships/image" Id="rId48" Target="media/rId48.jpg" /><Relationship Type="http://schemas.openxmlformats.org/officeDocument/2006/relationships/image" Id="rId54" Target="media/rId54.jpg" /><Relationship Type="http://schemas.openxmlformats.org/officeDocument/2006/relationships/image" Id="rId51" Target="media/rId51.jpg" /><Relationship Type="http://schemas.openxmlformats.org/officeDocument/2006/relationships/image" Id="rId60" Target="media/rId60.jpg" /><Relationship Type="http://schemas.openxmlformats.org/officeDocument/2006/relationships/image" Id="rId42" Target="media/rId42.jpg" /><Relationship Type="http://schemas.openxmlformats.org/officeDocument/2006/relationships/image" Id="rId140" Target="media/rId140.jpg" /><Relationship Type="http://schemas.openxmlformats.org/officeDocument/2006/relationships/image" Id="rId38" Target="media/rId38.jpg" /><Relationship Type="http://schemas.openxmlformats.org/officeDocument/2006/relationships/hyperlink" Id="rId126" Target="architecture.md" TargetMode="External" /><Relationship Type="http://schemas.openxmlformats.org/officeDocument/2006/relationships/hyperlink" Id="rId34" Target="cartography.md" TargetMode="External" /><Relationship Type="http://schemas.openxmlformats.org/officeDocument/2006/relationships/hyperlink" Id="rId128" Target="data-model.md" TargetMode="External" /><Relationship Type="http://schemas.openxmlformats.org/officeDocument/2006/relationships/hyperlink" Id="rId31" Target="library.md" TargetMode="External" /><Relationship Type="http://schemas.openxmlformats.org/officeDocument/2006/relationships/hyperlink" Id="rId32" Target="library.pdf" TargetMode="External" /><Relationship Type="http://schemas.openxmlformats.org/officeDocument/2006/relationships/hyperlink" Id="rId130" Target="openapi.yaml" TargetMode="External" /><Relationship Type="http://schemas.openxmlformats.org/officeDocument/2006/relationships/hyperlink" Id="rId136" Target="plans/simulation.md" TargetMode="External" /><Relationship Type="http://schemas.openxmlformats.org/officeDocument/2006/relationships/hyperlink" Id="rId135" Target="simulation-quickstart.md" TargetMode="External" /><Relationship Type="http://schemas.openxmlformats.org/officeDocument/2006/relationships/hyperlink" Id="rId177" Target="system.docx" TargetMode="External" /><Relationship Type="http://schemas.openxmlformats.org/officeDocument/2006/relationships/hyperlink" Id="rId176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6" Target="architecture.md" TargetMode="External" /><Relationship Type="http://schemas.openxmlformats.org/officeDocument/2006/relationships/hyperlink" Id="rId34" Target="cartography.md" TargetMode="External" /><Relationship Type="http://schemas.openxmlformats.org/officeDocument/2006/relationships/hyperlink" Id="rId128" Target="data-model.md" TargetMode="External" /><Relationship Type="http://schemas.openxmlformats.org/officeDocument/2006/relationships/hyperlink" Id="rId31" Target="library.md" TargetMode="External" /><Relationship Type="http://schemas.openxmlformats.org/officeDocument/2006/relationships/hyperlink" Id="rId32" Target="library.pdf" TargetMode="External" /><Relationship Type="http://schemas.openxmlformats.org/officeDocument/2006/relationships/hyperlink" Id="rId130" Target="openapi.yaml" TargetMode="External" /><Relationship Type="http://schemas.openxmlformats.org/officeDocument/2006/relationships/hyperlink" Id="rId136" Target="plans/simulation.md" TargetMode="External" /><Relationship Type="http://schemas.openxmlformats.org/officeDocument/2006/relationships/hyperlink" Id="rId135" Target="simulation-quickstart.md" TargetMode="External" /><Relationship Type="http://schemas.openxmlformats.org/officeDocument/2006/relationships/hyperlink" Id="rId177" Target="system.docx" TargetMode="External" /><Relationship Type="http://schemas.openxmlformats.org/officeDocument/2006/relationships/hyperlink" Id="rId176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2026-10-21T16:08:37Z</dcterms:created>
  <dcterms:modified xsi:type="dcterms:W3CDTF">2026-10-21T16:08:37Z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