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(по желанию, 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По умолчанию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выключен</w:t>
      </w:r>
      <w:r>
        <w:t xml:space="preserve">: на трёх операциях он не меняет сходство с</w:t>
      </w:r>
      <w:r>
        <w:t xml:space="preserve"> </w:t>
      </w:r>
      <w:r>
        <w:t xml:space="preserve">историей (пять 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 (21–54 %)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49–55 %</w:t>
      </w:r>
      <w:r>
        <w:t xml:space="preserve"> </w:t>
      </w:r>
      <w:r>
        <w:t xml:space="preserve">(по прогонам 49, 55, 51, 49, 52 %).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+6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19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 и прорыв Мезерицкого укреплённого района не наступают, Познань</w:t>
      </w:r>
      <w:r>
        <w:t xml:space="preserve"> </w:t>
      </w:r>
      <w:r>
        <w:t xml:space="preserve">окружается в одном прогоне из пяти (на 6 суток позже) и держится на складах.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2026-10-10T18:27:43Z</dcterms:created>
  <dcterms:modified xsi:type="dcterms:W3CDTF">2026-10-10T18:27:43Z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