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масштаб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</w:t>
      </w:r>
      <w:r>
        <w:t xml:space="preserve"> </w:t>
      </w:r>
      <w:r>
        <w:t xml:space="preserve">уровня ставит масштаб в этот интервал, если он был вне его: берётся ближайший край (с тактического на</w:t>
      </w:r>
      <w:r>
        <w:t xml:space="preserve"> </w:t>
      </w:r>
      <w:r>
        <w:t xml:space="preserve">оперативный — 1:100 000, со стратегического на оперативный — 1:190 000); если масштаб уже подходит, он не меняется.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</w:t>
      </w:r>
      <w:r>
        <w:t xml:space="preserve"> </w:t>
      </w:r>
      <w:r>
        <w:t xml:space="preserve">щелчок возвращает масштаб в интервал,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Оба выбора</w:t>
      </w:r>
      <w:r>
        <w:t xml:space="preserve"> </w:t>
      </w:r>
      <w:r>
        <w:t xml:space="preserve">запоминаются и действуют после перезапуска приложения.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(1:25 000 – 1:50 000), цели операции, итог и противник — оперативный (1:100 000 – 1:200 000),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2026-10-21T10:18:27Z</dcterms:created>
  <dcterms:modified xsi:type="dcterms:W3CDTF">2026-10-21T10:18:27Z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