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49–53 %</w:t>
      </w:r>
      <w:r>
        <w:t xml:space="preserve"> </w:t>
      </w:r>
      <w:r>
        <w:t xml:space="preserve">(по прогонам 49, 52, 50, 50, 53 %).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+12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18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двух прогонах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то, что</w:t>
      </w:r>
      <w:r>
        <w:t xml:space="preserve"> </w:t>
      </w:r>
      <w:r>
        <w:t xml:space="preserve">историческое «положение» армии — часто головной корпус или передовые отряды (на машинах 30–40</w:t>
      </w:r>
      <w:r>
        <w:t xml:space="preserve"> </w:t>
      </w:r>
      <w:r>
        <w:t xml:space="preserve">км/сут, отдельные сутки 45–60; Батов, Сборник ВИМ ВОВ вып. 4). Общий множитель темпа марша</w:t>
      </w:r>
      <w:r>
        <w:t xml:space="preserve"> </w:t>
      </w:r>
      <w:r>
        <w:t xml:space="preserve">выигрывает Висло-Одерскую, но вредит бою в Берлине (раздел 21, скан), поэтому не менялся.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2026-10-10T20:31:53Z</dcterms:created>
  <dcterms:modified xsi:type="dcterms:W3CDTF">2026-10-10T20:31:53Z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