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49–55 %</w:t>
      </w:r>
      <w:r>
        <w:t xml:space="preserve"> </w:t>
      </w:r>
      <w:r>
        <w:t xml:space="preserve">(по прогонам 49, 55, 51, 49, 52 %).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+2 +4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+6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19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 и прорыв Мезерицкого укреплённого района не наступают, Познань</w:t>
      </w:r>
      <w:r>
        <w:t xml:space="preserve"> </w:t>
      </w:r>
      <w:r>
        <w:t xml:space="preserve">окружается в одном прогоне из пяти (на 6 суток позже) и держится на складах.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2026-10-10T14:42:46Z</dcterms:created>
  <dcterms:modified xsi:type="dcterms:W3CDTF">2026-10-10T14:42:46Z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