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 и «Выключить голос»;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 и «Выключить голос»; под ними — «Включить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голос»,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в развёрнутой панели — в одной строке с «Калибровкой» и «Голосами»</w:t>
      </w:r>
      <w:r>
        <w:t xml:space="preserve"> </w:t>
      </w:r>
      <w:r>
        <w:t xml:space="preserve">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выключен»; в ленте — вопрос штаба перед выключением; в строке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кнопок — недоступные «Калибровка» и «Голоса» и красная «Включить голос», под ними — «Микрофон выключен: штаб вас не</w:t>
      </w:r>
      <w:r>
        <w:rPr>
          <w:iCs/>
          <w:i/>
        </w:rPr>
        <w:t xml:space="preserve"> </w:t>
      </w:r>
      <w:r>
        <w:rPr>
          <w:iCs/>
          <w:i/>
        </w:rPr>
        <w:t xml:space="preserve">слышит и не говорит.»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2026-10-21T09:45:34Z</dcterms:created>
  <dcterms:modified xsi:type="dcterms:W3CDTF">2026-10-21T09:45:34Z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