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1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8"/>
    <w:bookmarkStart w:id="140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3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0"/>
    <w:bookmarkStart w:id="142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2"/>
    <w:bookmarkStart w:id="14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3"/>
    <w:bookmarkStart w:id="14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4"/>
    <w:bookmarkEnd w:id="145"/>
    <w:bookmarkStart w:id="189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8"/>
    <w:bookmarkStart w:id="14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49"/>
    <w:bookmarkStart w:id="159" w:name="Xb75c2b10631fcbfc04eb3a0e3375c635fd2d8e0"/>
    <w:p>
      <w:pPr>
        <w:pStyle w:val="Heading2"/>
      </w:pPr>
      <w:r>
        <w:t xml:space="preserve">17. Данные</w:t>
      </w:r>
    </w:p>
    <w:bookmarkStart w:id="15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0"/>
    <w:bookmarkStart w:id="15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2" name="Picture"/>
            <a:graphic>
              <a:graphicData uri="http://schemas.openxmlformats.org/drawingml/2006/picture">
                <pic:pic>
                  <pic:nvPicPr>
                    <pic:cNvPr descr="img/theatre-historical-road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4" name="Picture"/>
            <a:graphic>
              <a:graphicData uri="http://schemas.openxmlformats.org/drawingml/2006/picture">
                <pic:pic>
                  <pic:nvPicPr>
                    <pic:cNvPr descr="img/theatre-relief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6"/>
    <w:bookmarkStart w:id="15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7"/>
    <w:bookmarkStart w:id="15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8"/>
    <w:bookmarkEnd w:id="159"/>
    <w:bookmarkStart w:id="1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0"/>
    <w:bookmarkStart w:id="1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1"/>
    <w:bookmarkStart w:id="1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2"/>
    <w:bookmarkEnd w:id="163"/>
    <w:bookmarkStart w:id="17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4"/>
    <w:bookmarkStart w:id="1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5"/>
    <w:bookmarkStart w:id="1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66"/>
    <w:bookmarkStart w:id="1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7"/>
    <w:bookmarkStart w:id="1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8"/>
    <w:bookmarkStart w:id="1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69"/>
    <w:bookmarkStart w:id="1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0"/>
    <w:bookmarkStart w:id="1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1"/>
    <w:bookmarkEnd w:id="172"/>
    <w:bookmarkStart w:id="17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3"/>
    <w:bookmarkStart w:id="17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Множитель не менялся:</w:t>
      </w:r>
      <w:r>
        <w:t xml:space="preserve"> </w:t>
      </w:r>
      <w:r>
        <w:t xml:space="preserve">Висло-Одерская — контрольная операция, подгонка под неё лишила бы контроль независимости.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 (21–62 %)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4"/>
    <w:bookmarkStart w:id="17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7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74–82 %</w:t>
      </w:r>
      <w:r>
        <w:t xml:space="preserve"> </w:t>
      </w:r>
      <w:r>
        <w:t xml:space="preserve">(по прогонам 81, 82, 80, 74,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—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+1 +4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46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в одном прогоне не попадает в котёл, в двух — отрезается на 3–4 суток позже истории.</w:t>
      </w:r>
      <w:r>
        <w:t xml:space="preserve"> </w:t>
      </w:r>
      <w:r>
        <w:t xml:space="preserve">Штеттин теперь берётся (на сутки раньше истории): после закрепления территории за фронтом и</w:t>
      </w:r>
      <w:r>
        <w:t xml:space="preserve"> </w:t>
      </w:r>
      <w:r>
        <w:t xml:space="preserve">наведения переправ сапёрами 2 БФ больше не считается отрезанным за Одером. Выходы в полосу соседа по директиве (seed 1):</w:t>
      </w:r>
      <w:r>
        <w:t xml:space="preserve"> </w:t>
      </w:r>
      <w:r>
        <w:t xml:space="preserve">49 А — в полосе 1 БФ в первые двое суток (линия 2 БФ / 1 БФ), 1 гв. ТА (с 24.04, пять ходов)</w:t>
      </w:r>
      <w:r>
        <w:t xml:space="preserve"> </w:t>
      </w:r>
      <w:r>
        <w:t xml:space="preserve">и 8 гв. А (с 27.04) — в полосе 1 УФ, 3 гв. А — в полосе 1 БФ (с 26.04 по линии 23.04 и с 29.04 —</w:t>
      </w:r>
      <w:r>
        <w:t xml:space="preserve"> </w:t>
      </w:r>
      <w:r>
        <w:t xml:space="preserve">по линии 28.04). Котёл 9-й армии — от двух суток раньше до двух позже истории (в одном прогоне</w:t>
      </w:r>
      <w:r>
        <w:t xml:space="preserve"> </w:t>
      </w:r>
      <w:r>
        <w:t xml:space="preserve">не замыкается); 29–30.04 его остатки прорываются на запад, теряя большую часть танков и орудий.</w:t>
      </w:r>
      <w:r>
        <w:t xml:space="preserve"> </w:t>
      </w:r>
      <w:r>
        <w:t xml:space="preserve">Бой за Рейхстаг — на 2–3 суток раньше, Знамя Победы — на сутки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5"/>
    <w:bookmarkStart w:id="17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76"/>
    <w:bookmarkStart w:id="177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49–51 %</w:t>
      </w:r>
      <w:r>
        <w:t xml:space="preserve"> </w:t>
      </w:r>
      <w:r>
        <w:t xml:space="preserve">(по прогонам 51, 51, 51, 49, 49 %).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— +1 — +12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+9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20 из 65</w:t>
      </w:r>
      <w:r>
        <w:t xml:space="preserve"> </w:t>
      </w:r>
      <w:r>
        <w:t xml:space="preserve">в пределах двух суток: Радом, Варшава, Лодзь — во всех прогонах, Кельце, Калиш и</w:t>
      </w:r>
      <w:r>
        <w:t xml:space="preserve"> </w:t>
      </w:r>
      <w:r>
        <w:t xml:space="preserve">Оппельн — в части. Кельце засчитывается не всегда: советские войска обходят город, а событие</w:t>
      </w:r>
      <w:r>
        <w:t xml:space="preserve"> </w:t>
      </w:r>
      <w:r>
        <w:t xml:space="preserve">требует их присутствия рядом (в одном прогоне — на 12 суток позже). Ченстохов и Оппельн — на 3–4 суток раньше, Краков и Катовице —</w:t>
      </w:r>
      <w:r>
        <w:t xml:space="preserve"> </w:t>
      </w:r>
      <w:r>
        <w:t xml:space="preserve">на 6–7; выход к Одеру, прорыв Мезерицкого укреплённого района и окружение Познани не наступают.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77"/>
    <w:bookmarkEnd w:id="178"/>
    <w:bookmarkStart w:id="17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79"/>
    <w:bookmarkStart w:id="18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0"/>
    <w:bookmarkStart w:id="18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В Висло-Одерской танковые армии идут вровень с</w:t>
      </w:r>
      <w:r>
        <w:t xml:space="preserve"> </w:t>
      </w:r>
      <w:r>
        <w:t xml:space="preserve">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то, что</w:t>
      </w:r>
      <w:r>
        <w:t xml:space="preserve"> </w:t>
      </w:r>
      <w:r>
        <w:t xml:space="preserve">историческое «положение» армии — часто головной корпус или передовые отряды (на машинах 30–40</w:t>
      </w:r>
      <w:r>
        <w:t xml:space="preserve"> </w:t>
      </w:r>
      <w:r>
        <w:t xml:space="preserve">км/сут, отдельные сутки 45–60; Батов, Сборник ВИМ ВОВ вып. 4). Общий множитель темпа марша</w:t>
      </w:r>
      <w:r>
        <w:t xml:space="preserve"> </w:t>
      </w:r>
      <w:r>
        <w:t xml:space="preserve">выигрывает Висло-Одерскую, но вредит бою в Берлине (раздел 21, скан), поэтому не менялся.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1"/>
    <w:bookmarkStart w:id="18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2"/>
    <w:bookmarkEnd w:id="183"/>
    <w:bookmarkStart w:id="18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4"/>
    <w:bookmarkStart w:id="187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5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87"/>
    <w:bookmarkStart w:id="188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88"/>
    <w:bookmarkEnd w:id="1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1" Target="media/rId151.jpg" /><Relationship Type="http://schemas.openxmlformats.org/officeDocument/2006/relationships/image" Id="rId49" Target="media/rId49.jpg" /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7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39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1" Target="openapi.yaml" TargetMode="External" /><Relationship Type="http://schemas.openxmlformats.org/officeDocument/2006/relationships/hyperlink" Id="rId147" Target="plans/simulation.md" TargetMode="External" /><Relationship Type="http://schemas.openxmlformats.org/officeDocument/2006/relationships/hyperlink" Id="rId146" Target="simulation-quickstart.md" TargetMode="External" /><Relationship Type="http://schemas.openxmlformats.org/officeDocument/2006/relationships/hyperlink" Id="rId186" Target="system.docx" TargetMode="External" /><Relationship Type="http://schemas.openxmlformats.org/officeDocument/2006/relationships/hyperlink" Id="rId185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2026-10-10T21:13:01Z</dcterms:created>
  <dcterms:modified xsi:type="dcterms:W3CDTF">2026-10-10T21:13:01Z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