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90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Start w:id="17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72"/>
    <w:bookmarkEnd w:id="173"/>
    <w:bookmarkStart w:id="17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4"/>
    <w:bookmarkStart w:id="17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Правило оставлено выключенным: общие множители Берлинской (предел темпа в полосе и др.) подобраны под</w:t>
      </w:r>
      <w:r>
        <w:t xml:space="preserve"> </w:t>
      </w:r>
      <w:r>
        <w:t xml:space="preserve">прежнее поведение полос, и включать правило честно — вместе с их перекалибровкой.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5"/>
    <w:bookmarkStart w:id="17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7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75–82 %</w:t>
      </w:r>
      <w:r>
        <w:t xml:space="preserve"> </w:t>
      </w:r>
      <w:r>
        <w:t xml:space="preserve">(по прогонам 82, 82, 81, 75, 81 %).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0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+1 −2 0 −2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+3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−2 −1 −2 −1 −1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48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двух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1–3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6"/>
    <w:bookmarkStart w:id="17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7"/>
    <w:bookmarkStart w:id="17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дивизиями), 235 приказов, 307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58–63 %</w:t>
      </w:r>
      <w:r>
        <w:t xml:space="preserve"> </w:t>
      </w:r>
      <w:r>
        <w:t xml:space="preserve">(по прогонам 63,</w:t>
      </w:r>
      <w:r>
        <w:t xml:space="preserve"> </w:t>
      </w:r>
      <w:r>
        <w:t xml:space="preserve">63, 59, 58, 61 %; без множителя режима — 47 % в среднем по пяти прогонам).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 делится,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—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— +1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−3 −4 −4 −5 −4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—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25 из 65</w:t>
      </w:r>
      <w:r>
        <w:t xml:space="preserve"> </w:t>
      </w:r>
      <w:r>
        <w:t xml:space="preserve">в пределах двух суток (без множителя режима — 19): Кельце, Радом, Варшава — во всех</w:t>
      </w:r>
      <w:r>
        <w:t xml:space="preserve"> </w:t>
      </w:r>
      <w:r>
        <w:t xml:space="preserve">прогонах, Лодзь и прорыв Мезерицкого укреплённого района — в четырёх, Калиш — в двух. На юге модель</w:t>
      </w:r>
      <w:r>
        <w:t xml:space="preserve"> </w:t>
      </w:r>
      <w:r>
        <w:t xml:space="preserve">быстрее истории: Ченстохов — на 3 суток раньше, Оппельн — на 3–5, Краков и Катовице — на 6. Не</w:t>
      </w:r>
      <w:r>
        <w:t xml:space="preserve"> </w:t>
      </w:r>
      <w:r>
        <w:t xml:space="preserve">наступают: выход 4 ТА к Одеру у Штейнау (4 ТА стоит у Кельце до приказа 17.01, а 21.01 остаётся без</w:t>
      </w:r>
      <w:r>
        <w:t xml:space="preserve"> </w:t>
      </w:r>
      <w:r>
        <w:t xml:space="preserve">горючего — раздел 21), окружение Познани и выход к Одеру у Кинитца (армия в модели неделима — раздел</w:t>
      </w:r>
      <w:r>
        <w:t xml:space="preserve"> </w:t>
      </w:r>
      <w:r>
        <w:t xml:space="preserve">25.1, п. 16).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8"/>
    <w:bookmarkEnd w:id="179"/>
    <w:bookmarkStart w:id="18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80"/>
    <w:bookmarkStart w:id="18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1"/>
    <w:bookmarkStart w:id="18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Армия неделима.</w:t>
      </w:r>
      <w:r>
        <w:t xml:space="preserve"> </w:t>
      </w:r>
      <w:r>
        <w:t xml:space="preserve">Армия в модели — одна точка: она не может оставить корпус штурмовать</w:t>
      </w:r>
      <w:r>
        <w:t xml:space="preserve"> </w:t>
      </w:r>
      <w:r>
        <w:t xml:space="preserve">крепость и идти дальше главными силами. Поэтому Познань в модели не окружается (армии обходят</w:t>
      </w:r>
      <w:r>
        <w:t xml:space="preserve"> </w:t>
      </w:r>
      <w:r>
        <w:t xml:space="preserve">город с двух сторон, коридор к гарнизону остаётся), а приказ «на Познань» втягивал в городской</w:t>
      </w:r>
      <w:r>
        <w:t xml:space="preserve"> </w:t>
      </w:r>
      <w:r>
        <w:t xml:space="preserve">бой всю армию (раздел 22.3). Так же к Одеру у Кинитца 31.01 вышли передовые отряды 5 УА, а модель</w:t>
      </w:r>
      <w:r>
        <w:t xml:space="preserve"> </w:t>
      </w:r>
      <w:r>
        <w:t xml:space="preserve">ведёт главные силы. Нужен механизм выделения корпуса или передового отряда из армии.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2"/>
    <w:bookmarkStart w:id="18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3"/>
    <w:bookmarkEnd w:id="184"/>
    <w:bookmarkStart w:id="18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5"/>
    <w:bookmarkStart w:id="188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6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8"/>
    <w:bookmarkStart w:id="189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9"/>
    <w:bookmarkEnd w:id="1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7" Target="system.docx" TargetMode="External" /><Relationship Type="http://schemas.openxmlformats.org/officeDocument/2006/relationships/hyperlink" Id="rId186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7" Target="system.docx" TargetMode="External" /><Relationship Type="http://schemas.openxmlformats.org/officeDocument/2006/relationships/hyperlink" Id="rId186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2026-10-11T11:29:38Z</dcterms:created>
  <dcterms:modified xsi:type="dcterms:W3CDTF">2026-10-11T11:29:38Z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