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2B7A86">
      <w:pPr>
        <w:pStyle w:val="2"/>
        <w:bidi w:val="0"/>
        <w:jc w:val="center"/>
        <w:rPr>
          <w:rFonts w:hint="eastAsia"/>
          <w:lang w:val="en-US" w:eastAsia="zh-CN"/>
        </w:rPr>
      </w:pPr>
      <w:bookmarkStart w:id="0" w:name="_Toc3474"/>
      <w:r>
        <w:rPr>
          <w:rFonts w:hint="eastAsia"/>
          <w:lang w:val="en-US" w:eastAsia="zh-CN"/>
        </w:rPr>
        <w:t>开箱功能UI调整</w:t>
      </w:r>
      <w:bookmarkEnd w:id="0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31"/>
        <w:gridCol w:w="1410"/>
        <w:gridCol w:w="5490"/>
        <w:gridCol w:w="791"/>
      </w:tblGrid>
      <w:tr w14:paraId="15B70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31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  <w:tl2br w:val="nil"/>
            </w:tcBorders>
            <w:shd w:val="clear" w:color="auto" w:fill="FFFFFF"/>
          </w:tcPr>
          <w:p w14:paraId="2D680874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编号</w:t>
            </w:r>
          </w:p>
        </w:tc>
        <w:tc>
          <w:tcPr>
            <w:tcW w:w="1410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7EDF521E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日期</w:t>
            </w:r>
          </w:p>
        </w:tc>
        <w:tc>
          <w:tcPr>
            <w:tcW w:w="5490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73D55BA5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内容</w:t>
            </w:r>
          </w:p>
        </w:tc>
        <w:tc>
          <w:tcPr>
            <w:tcW w:w="791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2D1C0BD6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作者</w:t>
            </w:r>
          </w:p>
        </w:tc>
      </w:tr>
      <w:tr w14:paraId="06DDB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31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52B8A9EF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1.0</w:t>
            </w:r>
          </w:p>
        </w:tc>
        <w:tc>
          <w:tcPr>
            <w:tcW w:w="1410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21900E64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2025/7/19</w:t>
            </w:r>
          </w:p>
        </w:tc>
        <w:tc>
          <w:tcPr>
            <w:tcW w:w="5490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55A52EEC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调整开箱功能的UI表现和界面逻辑</w:t>
            </w:r>
          </w:p>
        </w:tc>
        <w:tc>
          <w:tcPr>
            <w:tcW w:w="791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5C5FC874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MC</w:t>
            </w:r>
          </w:p>
        </w:tc>
      </w:tr>
      <w:tr w14:paraId="27BAA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EDC59C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81FFBE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54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24D2A3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32741E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</w:tr>
      <w:tr w14:paraId="3AF8D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B74252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5048EA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54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D80BFF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091044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</w:tr>
      <w:tr w14:paraId="2108A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85A375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1DA70D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54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BC54AA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6ACA84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</w:tr>
      <w:tr w14:paraId="6AF81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31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17AFD3A6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544DB891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5490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73648CAA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6360C185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</w:tr>
    </w:tbl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5710"/>
        <w15:color w:val="DBDBDB"/>
        <w:docPartObj>
          <w:docPartGallery w:val="Table of Contents"/>
          <w:docPartUnique/>
        </w:docPartObj>
      </w:sdtPr>
      <w:sdtEnd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0744B1E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2CC2068">
          <w:pPr>
            <w:pStyle w:val="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TOC \o "1-3" \h \u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_Toc3474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开箱功能UI调整</w:t>
          </w:r>
          <w:r>
            <w:tab/>
          </w:r>
          <w:r>
            <w:fldChar w:fldCharType="begin"/>
          </w:r>
          <w:r>
            <w:instrText xml:space="preserve"> PAGEREF _Toc3474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DD2FF57">
          <w:pPr>
            <w:pStyle w:val="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_Toc25891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一、 整体调整思路</w:t>
          </w:r>
          <w:r>
            <w:tab/>
          </w:r>
          <w:r>
            <w:fldChar w:fldCharType="begin"/>
          </w:r>
          <w:r>
            <w:instrText xml:space="preserve"> PAGEREF _Toc25891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9328EDD">
          <w:pPr>
            <w:pStyle w:val="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_Toc2966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二、 界面调整内容</w:t>
          </w:r>
          <w:r>
            <w:tab/>
          </w:r>
          <w:r>
            <w:fldChar w:fldCharType="begin"/>
          </w:r>
          <w:r>
            <w:instrText xml:space="preserve"> PAGEREF _Toc2966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CDB06AD">
          <w:pPr>
            <w:pStyle w:val="5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_Toc25849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 </w:t>
          </w:r>
          <w:r>
            <w:rPr>
              <w:rFonts w:hint="eastAsia"/>
              <w:lang w:val="en-US" w:eastAsia="zh-CN"/>
            </w:rPr>
            <w:t>开箱入口调整</w:t>
          </w:r>
          <w:r>
            <w:tab/>
          </w:r>
          <w:r>
            <w:fldChar w:fldCharType="begin"/>
          </w:r>
          <w:r>
            <w:instrText xml:space="preserve"> PAGEREF _Toc25849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EB9B836">
          <w:pPr>
            <w:pStyle w:val="5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_Toc13841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 </w:t>
          </w:r>
          <w:r>
            <w:rPr>
              <w:rFonts w:hint="eastAsia"/>
              <w:lang w:val="en-US" w:eastAsia="zh-CN"/>
            </w:rPr>
            <w:t>开箱界面</w:t>
          </w:r>
          <w:r>
            <w:tab/>
          </w:r>
          <w:r>
            <w:fldChar w:fldCharType="begin"/>
          </w:r>
          <w:r>
            <w:instrText xml:space="preserve"> PAGEREF _Toc13841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73706CED">
          <w:pPr>
            <w:pStyle w:val="5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_Toc8371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 </w:t>
          </w:r>
          <w:r>
            <w:rPr>
              <w:rFonts w:hint="eastAsia"/>
              <w:lang w:val="en-US" w:eastAsia="zh-CN"/>
            </w:rPr>
            <w:t>开启结果界面</w:t>
          </w:r>
          <w:r>
            <w:tab/>
          </w:r>
          <w:r>
            <w:fldChar w:fldCharType="begin"/>
          </w:r>
          <w:r>
            <w:instrText xml:space="preserve"> PAGEREF _Toc8371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B6259C0">
          <w:pPr>
            <w:pStyle w:val="5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_Toc9723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 </w:t>
          </w:r>
          <w:r>
            <w:rPr>
              <w:rFonts w:hint="eastAsia"/>
              <w:lang w:val="en-US" w:eastAsia="zh-CN"/>
            </w:rPr>
            <w:t>自动开启设置界面</w:t>
          </w:r>
          <w:r>
            <w:tab/>
          </w:r>
          <w:r>
            <w:fldChar w:fldCharType="begin"/>
          </w:r>
          <w:r>
            <w:instrText xml:space="preserve"> PAGEREF _Toc9723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1CA3336">
          <w:pPr>
            <w:pStyle w:val="5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_Toc27079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 </w:t>
          </w:r>
          <w:r>
            <w:rPr>
              <w:rFonts w:hint="eastAsia"/>
              <w:lang w:val="en-US" w:eastAsia="zh-CN"/>
            </w:rPr>
            <w:t>宝箱升级界面</w:t>
          </w:r>
          <w:r>
            <w:tab/>
          </w:r>
          <w:r>
            <w:fldChar w:fldCharType="begin"/>
          </w:r>
          <w:r>
            <w:instrText xml:space="preserve"> PAGEREF _Toc27079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72E09721">
          <w:pPr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default"/>
              <w:lang w:val="en-US" w:eastAsia="zh-CN"/>
            </w:rPr>
            <w:fldChar w:fldCharType="end"/>
          </w:r>
        </w:p>
      </w:sdtContent>
    </w:sdt>
    <w:p w14:paraId="45EF560F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A145FE8">
      <w:pPr>
        <w:rPr>
          <w:rFonts w:hint="default"/>
          <w:lang w:val="en-US" w:eastAsia="zh-CN"/>
        </w:rPr>
      </w:pPr>
    </w:p>
    <w:p w14:paraId="435D9551">
      <w:pPr>
        <w:rPr>
          <w:rFonts w:hint="default"/>
          <w:lang w:val="en-US" w:eastAsia="zh-CN"/>
        </w:rPr>
      </w:pPr>
    </w:p>
    <w:p w14:paraId="4A7AC0AE">
      <w:pPr>
        <w:rPr>
          <w:rFonts w:hint="default"/>
          <w:lang w:val="en-US" w:eastAsia="zh-CN"/>
        </w:rPr>
      </w:pPr>
    </w:p>
    <w:p w14:paraId="0577EA10">
      <w:pPr>
        <w:rPr>
          <w:rFonts w:hint="default"/>
          <w:lang w:val="en-US" w:eastAsia="zh-CN"/>
        </w:rPr>
      </w:pPr>
    </w:p>
    <w:p w14:paraId="2402A8AF">
      <w:pPr>
        <w:rPr>
          <w:rFonts w:hint="default"/>
          <w:lang w:val="en-US" w:eastAsia="zh-CN"/>
        </w:rPr>
      </w:pPr>
    </w:p>
    <w:p w14:paraId="5E86E0C8">
      <w:pPr>
        <w:rPr>
          <w:rFonts w:hint="default"/>
          <w:lang w:val="en-US" w:eastAsia="zh-CN"/>
        </w:rPr>
      </w:pPr>
    </w:p>
    <w:p w14:paraId="4C9EED3B">
      <w:pPr>
        <w:rPr>
          <w:rFonts w:hint="default"/>
          <w:lang w:val="en-US" w:eastAsia="zh-CN"/>
        </w:rPr>
      </w:pPr>
    </w:p>
    <w:p w14:paraId="0E290CBA">
      <w:pPr>
        <w:rPr>
          <w:rFonts w:hint="default"/>
          <w:lang w:val="en-US" w:eastAsia="zh-CN"/>
        </w:rPr>
      </w:pPr>
    </w:p>
    <w:p w14:paraId="718AFAF8">
      <w:pPr>
        <w:rPr>
          <w:rFonts w:hint="default"/>
          <w:lang w:val="en-US" w:eastAsia="zh-CN"/>
        </w:rPr>
      </w:pPr>
    </w:p>
    <w:p w14:paraId="3B224DF3">
      <w:pPr>
        <w:rPr>
          <w:rFonts w:hint="default"/>
          <w:lang w:val="en-US" w:eastAsia="zh-CN"/>
        </w:rPr>
      </w:pPr>
    </w:p>
    <w:p w14:paraId="65714CE6">
      <w:pPr>
        <w:rPr>
          <w:rFonts w:hint="default"/>
          <w:lang w:val="en-US" w:eastAsia="zh-CN"/>
        </w:rPr>
      </w:pPr>
    </w:p>
    <w:p w14:paraId="5F85061A">
      <w:pPr>
        <w:rPr>
          <w:rFonts w:hint="default"/>
          <w:lang w:val="en-US" w:eastAsia="zh-CN"/>
        </w:rPr>
      </w:pPr>
    </w:p>
    <w:p w14:paraId="3FFA0C0B">
      <w:pPr>
        <w:rPr>
          <w:rFonts w:hint="default"/>
          <w:lang w:val="en-US" w:eastAsia="zh-CN"/>
        </w:rPr>
      </w:pPr>
    </w:p>
    <w:p w14:paraId="2D73AFFE">
      <w:pPr>
        <w:rPr>
          <w:rFonts w:hint="default"/>
          <w:lang w:val="en-US" w:eastAsia="zh-CN"/>
        </w:rPr>
      </w:pPr>
    </w:p>
    <w:p w14:paraId="2155081B">
      <w:pPr>
        <w:rPr>
          <w:rFonts w:hint="default"/>
          <w:lang w:val="en-US" w:eastAsia="zh-CN"/>
        </w:rPr>
      </w:pPr>
    </w:p>
    <w:p w14:paraId="409B929C">
      <w:pPr>
        <w:rPr>
          <w:rFonts w:hint="default"/>
          <w:lang w:val="en-US" w:eastAsia="zh-CN"/>
        </w:rPr>
      </w:pPr>
    </w:p>
    <w:p w14:paraId="5E6B6937">
      <w:pPr>
        <w:rPr>
          <w:rFonts w:hint="default"/>
          <w:lang w:val="en-US" w:eastAsia="zh-CN"/>
        </w:rPr>
      </w:pPr>
    </w:p>
    <w:p w14:paraId="56BC1EC9">
      <w:pPr>
        <w:rPr>
          <w:rFonts w:hint="default"/>
          <w:lang w:val="en-US" w:eastAsia="zh-CN"/>
        </w:rPr>
      </w:pPr>
    </w:p>
    <w:p w14:paraId="3CB501C5">
      <w:pPr>
        <w:rPr>
          <w:rFonts w:hint="default"/>
          <w:lang w:val="en-US" w:eastAsia="zh-CN"/>
        </w:rPr>
      </w:pPr>
    </w:p>
    <w:p w14:paraId="20916A2E">
      <w:pPr>
        <w:rPr>
          <w:rFonts w:hint="default"/>
          <w:lang w:val="en-US" w:eastAsia="zh-CN"/>
        </w:rPr>
      </w:pPr>
    </w:p>
    <w:p w14:paraId="38F9352E">
      <w:pPr>
        <w:rPr>
          <w:rFonts w:hint="default"/>
          <w:lang w:val="en-US" w:eastAsia="zh-CN"/>
        </w:rPr>
      </w:pPr>
    </w:p>
    <w:p w14:paraId="5379A5F5">
      <w:pPr>
        <w:rPr>
          <w:rFonts w:hint="default"/>
          <w:lang w:val="en-US" w:eastAsia="zh-CN"/>
        </w:rPr>
      </w:pPr>
    </w:p>
    <w:p w14:paraId="1EBCB66A">
      <w:pPr>
        <w:rPr>
          <w:rFonts w:hint="default"/>
          <w:lang w:val="en-US" w:eastAsia="zh-CN"/>
        </w:rPr>
      </w:pPr>
    </w:p>
    <w:p w14:paraId="7524BD60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1" w:name="_Toc25891"/>
      <w:bookmarkStart w:id="8" w:name="_GoBack"/>
      <w:bookmarkEnd w:id="8"/>
      <w:r>
        <w:rPr>
          <w:rFonts w:hint="eastAsia"/>
          <w:lang w:val="en-US" w:eastAsia="zh-CN"/>
        </w:rPr>
        <w:t>整体调整思路</w:t>
      </w:r>
      <w:bookmarkEnd w:id="1"/>
    </w:p>
    <w:p w14:paraId="1755C811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将原来主界面常驻的开箱模块封装到一个独立界面中，将开箱的功能入口放置在任务栏侧边。</w:t>
      </w:r>
    </w:p>
    <w:p w14:paraId="40D4053D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将开箱的概念包装为月光宝盒的概念，每次开箱添加开箱特效。</w:t>
      </w:r>
    </w:p>
    <w:p w14:paraId="2E3DFB8E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2" w:name="_Toc2966"/>
      <w:r>
        <w:rPr>
          <w:rFonts w:hint="eastAsia"/>
          <w:lang w:val="en-US" w:eastAsia="zh-CN"/>
        </w:rPr>
        <w:t>界面调整内容</w:t>
      </w:r>
      <w:bookmarkEnd w:id="2"/>
    </w:p>
    <w:p w14:paraId="7FFE0A4C">
      <w:pPr>
        <w:pStyle w:val="4"/>
        <w:numPr>
          <w:ilvl w:val="1"/>
          <w:numId w:val="2"/>
        </w:numPr>
        <w:bidi w:val="0"/>
        <w:rPr>
          <w:rFonts w:hint="eastAsia"/>
          <w:lang w:val="en-US" w:eastAsia="zh-CN"/>
        </w:rPr>
      </w:pPr>
      <w:bookmarkStart w:id="3" w:name="_Toc25849"/>
      <w:r>
        <w:rPr>
          <w:rFonts w:hint="eastAsia"/>
          <w:lang w:val="en-US" w:eastAsia="zh-CN"/>
        </w:rPr>
        <w:t>开箱入口调整</w:t>
      </w:r>
      <w:bookmarkEnd w:id="3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6869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08BB2B0A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5260340" cy="2427605"/>
                  <wp:effectExtent l="0" t="0" r="16510" b="10795"/>
                  <wp:docPr id="3" name="图片 3" descr="444f6fa4a1b5d4ea364fbf6b901db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444f6fa4a1b5d4ea364fbf6b901db7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0340" cy="2427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4B81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039F34EA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5270500" cy="2409190"/>
                  <wp:effectExtent l="0" t="0" r="6350" b="10160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409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8486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59ABF2CD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图1为现在的主界面开箱布局；图2为调整的内容：</w:t>
            </w:r>
          </w:p>
          <w:p w14:paraId="0983A7A7">
            <w:pPr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去除常驻的开箱模块，在任务栏侧边增加一个月光宝盒的功能按钮</w:t>
            </w:r>
          </w:p>
          <w:p w14:paraId="3674C0A5">
            <w:pPr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按钮下方的数字代表当前的开箱次数</w:t>
            </w:r>
          </w:p>
          <w:p w14:paraId="7DF3375D">
            <w:pPr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点击按钮之后可以打开开箱的界面，详见下文。</w:t>
            </w:r>
          </w:p>
        </w:tc>
      </w:tr>
    </w:tbl>
    <w:p w14:paraId="0F1814FA">
      <w:pPr>
        <w:pStyle w:val="4"/>
        <w:numPr>
          <w:ilvl w:val="1"/>
          <w:numId w:val="2"/>
        </w:numPr>
        <w:bidi w:val="0"/>
        <w:rPr>
          <w:rFonts w:hint="eastAsia"/>
          <w:lang w:val="en-US" w:eastAsia="zh-CN"/>
        </w:rPr>
      </w:pPr>
      <w:bookmarkStart w:id="4" w:name="_Toc13841"/>
      <w:r>
        <w:rPr>
          <w:rFonts w:hint="eastAsia"/>
          <w:lang w:val="en-US" w:eastAsia="zh-CN"/>
        </w:rPr>
        <w:t>开箱界面</w:t>
      </w:r>
      <w:bookmarkEnd w:id="4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4FB8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735DAF59">
            <w:pPr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5270500" cy="2409190"/>
                  <wp:effectExtent l="0" t="0" r="6350" b="10160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409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1C87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19C93B5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如上图所示，为点击“月光宝盒”按钮之后打开的开箱界面：</w:t>
            </w:r>
          </w:p>
          <w:p w14:paraId="5C4C0B28">
            <w:pPr>
              <w:numPr>
                <w:ilvl w:val="0"/>
                <w:numId w:val="4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界面标题：月光宝盒。</w:t>
            </w:r>
          </w:p>
          <w:p w14:paraId="3EA46BE1">
            <w:pPr>
              <w:numPr>
                <w:ilvl w:val="0"/>
                <w:numId w:val="4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整个界面包装为一个闭合的月光宝盒背景，背景的中心为一个点击按钮，点击一次则进行一次开箱操作，同原来的点击宝箱按钮的操作逻辑。</w:t>
            </w:r>
          </w:p>
          <w:p w14:paraId="2EE3F97F">
            <w:pPr>
              <w:numPr>
                <w:ilvl w:val="0"/>
                <w:numId w:val="4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左侧为：自动开启功能按钮，逻辑同原来的自动按钮，点击之后打开开启设置界面，关闭之后则为自动开启状态，按钮文字不要写死，由程序来控制：自动开启or停止自动。</w:t>
            </w:r>
          </w:p>
          <w:p w14:paraId="1044CD70">
            <w:pPr>
              <w:numPr>
                <w:ilvl w:val="0"/>
                <w:numId w:val="4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右侧为：宝盒升级功能按钮，逻辑同原来的宝箱升级按钮，点击之后打开宝箱升级界面。</w:t>
            </w:r>
          </w:p>
          <w:p w14:paraId="1CB93E96">
            <w:pPr>
              <w:numPr>
                <w:ilvl w:val="0"/>
                <w:numId w:val="4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持有数量：显示当前的可开启次数。</w:t>
            </w:r>
          </w:p>
          <w:p w14:paraId="2D1ADFB0">
            <w:pPr>
              <w:numPr>
                <w:ilvl w:val="0"/>
                <w:numId w:val="4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今日开启上限：显示今日可以开启的最大数量，点击其后的加号按钮跳转到免费VIP功能界面。</w:t>
            </w:r>
          </w:p>
          <w:p w14:paraId="52FCEA1A">
            <w:pPr>
              <w:numPr>
                <w:ilvl w:val="0"/>
                <w:numId w:val="4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左右箭头以及数字显示则为原来的宝箱同时开启数量的操作，逻辑相同。</w:t>
            </w:r>
          </w:p>
        </w:tc>
      </w:tr>
    </w:tbl>
    <w:p w14:paraId="79E451B5">
      <w:pPr>
        <w:pStyle w:val="4"/>
        <w:numPr>
          <w:ilvl w:val="1"/>
          <w:numId w:val="2"/>
        </w:numPr>
        <w:bidi w:val="0"/>
        <w:rPr>
          <w:rFonts w:hint="eastAsia"/>
          <w:lang w:val="en-US" w:eastAsia="zh-CN"/>
        </w:rPr>
      </w:pPr>
      <w:bookmarkStart w:id="5" w:name="_Toc8371"/>
      <w:r>
        <w:rPr>
          <w:rFonts w:hint="eastAsia"/>
          <w:lang w:val="en-US" w:eastAsia="zh-CN"/>
        </w:rPr>
        <w:t>开启结果界面</w:t>
      </w:r>
      <w:bookmarkEnd w:id="5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6EEF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06942117">
            <w:pPr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5270500" cy="2409190"/>
                  <wp:effectExtent l="0" t="0" r="6350" b="10160"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409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A4B9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2161B5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如上图所示，为点击开启宝箱之后的结果界面，同原来的操作界面，只不过需要添加一个月光宝盒打开的背景，以及开启时的光柱特效表现。</w:t>
            </w:r>
          </w:p>
        </w:tc>
      </w:tr>
    </w:tbl>
    <w:p w14:paraId="760603FE">
      <w:pPr>
        <w:pStyle w:val="4"/>
        <w:numPr>
          <w:ilvl w:val="1"/>
          <w:numId w:val="2"/>
        </w:numPr>
        <w:bidi w:val="0"/>
        <w:rPr>
          <w:rFonts w:hint="eastAsia"/>
          <w:lang w:val="en-US" w:eastAsia="zh-CN"/>
        </w:rPr>
      </w:pPr>
      <w:bookmarkStart w:id="6" w:name="_Toc9723"/>
      <w:r>
        <w:rPr>
          <w:rFonts w:hint="eastAsia"/>
          <w:lang w:val="en-US" w:eastAsia="zh-CN"/>
        </w:rPr>
        <w:t>自动开启设置界面</w:t>
      </w:r>
      <w:bookmarkEnd w:id="6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C820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2511301E">
            <w:pPr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5270500" cy="2409190"/>
                  <wp:effectExtent l="0" t="0" r="6350" b="10160"/>
                  <wp:docPr id="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409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C42F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051A25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如上图所示，为点击自动开启按钮之后的设置界面，同原来的开箱设置界面，但是界面名称需要调整为：开启设置。</w:t>
            </w:r>
          </w:p>
        </w:tc>
      </w:tr>
    </w:tbl>
    <w:p w14:paraId="51D570D5">
      <w:pPr>
        <w:pStyle w:val="4"/>
        <w:numPr>
          <w:ilvl w:val="1"/>
          <w:numId w:val="2"/>
        </w:numPr>
        <w:bidi w:val="0"/>
        <w:rPr>
          <w:rFonts w:hint="eastAsia"/>
          <w:lang w:val="en-US" w:eastAsia="zh-CN"/>
        </w:rPr>
      </w:pPr>
      <w:bookmarkStart w:id="7" w:name="_Toc27079"/>
      <w:r>
        <w:rPr>
          <w:rFonts w:hint="eastAsia"/>
          <w:lang w:val="en-US" w:eastAsia="zh-CN"/>
        </w:rPr>
        <w:t>宝箱升级界面</w:t>
      </w:r>
      <w:bookmarkEnd w:id="7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58B0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775434F5">
            <w:pPr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5270500" cy="2409190"/>
                  <wp:effectExtent l="0" t="0" r="6350" b="10160"/>
                  <wp:docPr id="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409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C14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01B0094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如上图所示，为点击“宝盒升级”之后打开的升级界面，标题需要调整为：宝盒升级。</w:t>
            </w:r>
          </w:p>
        </w:tc>
      </w:tr>
    </w:tbl>
    <w:p w14:paraId="1907C5AD">
      <w:pPr>
        <w:rPr>
          <w:rFonts w:hint="eastAsia"/>
          <w:lang w:val="en-US" w:eastAsia="zh-CN"/>
        </w:rPr>
      </w:pPr>
    </w:p>
    <w:p w14:paraId="0A54A80E">
      <w:pPr>
        <w:rPr>
          <w:rFonts w:hint="eastAsia"/>
          <w:lang w:val="en-US" w:eastAsia="zh-CN"/>
        </w:rPr>
      </w:pPr>
    </w:p>
    <w:p w14:paraId="71F2424B"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989DFA"/>
    <w:multiLevelType w:val="singleLevel"/>
    <w:tmpl w:val="B3989DF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14D458CE"/>
    <w:multiLevelType w:val="singleLevel"/>
    <w:tmpl w:val="14D458CE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>
    <w:nsid w:val="1609344B"/>
    <w:multiLevelType w:val="multilevel"/>
    <w:tmpl w:val="1609344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5707F4A3"/>
    <w:multiLevelType w:val="singleLevel"/>
    <w:tmpl w:val="5707F4A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293DF5"/>
    <w:rsid w:val="37F704F1"/>
    <w:rsid w:val="3B337A92"/>
    <w:rsid w:val="40D91AEB"/>
    <w:rsid w:val="425A1DA9"/>
    <w:rsid w:val="4A89147D"/>
    <w:rsid w:val="508708F6"/>
    <w:rsid w:val="772E7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0"/>
    <w:pPr>
      <w:ind w:left="840" w:leftChars="400"/>
    </w:pPr>
  </w:style>
  <w:style w:type="paragraph" w:styleId="6">
    <w:name w:val="toc 1"/>
    <w:basedOn w:val="1"/>
    <w:next w:val="1"/>
    <w:uiPriority w:val="0"/>
  </w:style>
  <w:style w:type="paragraph" w:styleId="7">
    <w:name w:val="toc 2"/>
    <w:basedOn w:val="1"/>
    <w:next w:val="1"/>
    <w:uiPriority w:val="0"/>
    <w:pPr>
      <w:ind w:left="420" w:leftChars="200"/>
    </w:p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2025-07-19T06:36:43Z</dcterms:created>
  <dc:creator>马超</dc:creator>
  <cp:lastModifiedBy>企业用户_255442825</cp:lastModifiedBy>
  <dcterms:modified xsi:type="dcterms:W3CDTF">2025-07-19T06:52:46Z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eyJoZGlkIjoiMjMzZThlYjEzMzllNDdhMmQ0NDI1ZTBlOTA1Mzk3NjMiLCJ1c2VySWQiOiIxNTI3OTQyMzU2In0=</vt:lpwstr>
  </property>
  <property fmtid="{D5CDD505-2E9C-101B-9397-08002B2CF9AE}" pid="4" name="ICV">
    <vt:lpwstr>FA039B1361AA41B093A41F88E1B2AB4B_12</vt:lpwstr>
  </property>
</Properties>
</file>