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6A892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美术资源替换3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1532"/>
        <w:gridCol w:w="5081"/>
        <w:gridCol w:w="815"/>
      </w:tblGrid>
      <w:tr w14:paraId="15AD3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</w:tcPr>
          <w:p w14:paraId="71173EB7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编号</w:t>
            </w:r>
          </w:p>
        </w:tc>
        <w:tc>
          <w:tcPr>
            <w:tcW w:w="1532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73E3DA65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日期</w:t>
            </w:r>
          </w:p>
        </w:tc>
        <w:tc>
          <w:tcPr>
            <w:tcW w:w="5081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52F66255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内容</w:t>
            </w:r>
          </w:p>
        </w:tc>
        <w:tc>
          <w:tcPr>
            <w:tcW w:w="815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43DCC2DA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作者</w:t>
            </w:r>
          </w:p>
        </w:tc>
      </w:tr>
      <w:tr w14:paraId="638B8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263A79CE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1.0</w:t>
            </w:r>
          </w:p>
        </w:tc>
        <w:tc>
          <w:tcPr>
            <w:tcW w:w="1532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0EE77BE9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2025/6/24</w:t>
            </w:r>
          </w:p>
        </w:tc>
        <w:tc>
          <w:tcPr>
            <w:tcW w:w="5081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1901A635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汇总游戏内需要替换的界面UI资源</w:t>
            </w:r>
          </w:p>
        </w:tc>
        <w:tc>
          <w:tcPr>
            <w:tcW w:w="815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0B2BC213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MC</w:t>
            </w:r>
          </w:p>
        </w:tc>
      </w:tr>
      <w:tr w14:paraId="0936C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56B8DE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D6717F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5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CC03B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AB1F2A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13915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F33022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FF1A9E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5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E90D75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CEE124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02D06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1325519B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785F3D57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5081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0C56A186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0203BBBC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</w:tbl>
    <w:p w14:paraId="22188CDC">
      <w:pPr>
        <w:rPr>
          <w:rFonts w:hint="default"/>
          <w:lang w:val="en-US" w:eastAsia="zh-CN"/>
        </w:rPr>
      </w:pPr>
    </w:p>
    <w:p w14:paraId="2A548B3B">
      <w:pPr>
        <w:rPr>
          <w:rFonts w:hint="default"/>
          <w:lang w:val="en-US" w:eastAsia="zh-CN"/>
        </w:rPr>
      </w:pPr>
    </w:p>
    <w:p w14:paraId="0CD8AD55">
      <w:pPr>
        <w:rPr>
          <w:rFonts w:hint="default"/>
          <w:lang w:val="en-US" w:eastAsia="zh-CN"/>
        </w:rPr>
      </w:pPr>
    </w:p>
    <w:p w14:paraId="294F9BB1">
      <w:pPr>
        <w:rPr>
          <w:rFonts w:hint="default"/>
          <w:lang w:val="en-US" w:eastAsia="zh-CN"/>
        </w:rPr>
      </w:pPr>
    </w:p>
    <w:p w14:paraId="439FACCC">
      <w:pPr>
        <w:rPr>
          <w:rFonts w:hint="default"/>
          <w:lang w:val="en-US" w:eastAsia="zh-CN"/>
        </w:rPr>
      </w:pPr>
    </w:p>
    <w:p w14:paraId="32B53ED0">
      <w:pPr>
        <w:rPr>
          <w:rFonts w:hint="default"/>
          <w:lang w:val="en-US" w:eastAsia="zh-CN"/>
        </w:rPr>
      </w:pPr>
    </w:p>
    <w:p w14:paraId="2EF28AF8">
      <w:pPr>
        <w:rPr>
          <w:rFonts w:hint="default"/>
          <w:lang w:val="en-US" w:eastAsia="zh-CN"/>
        </w:rPr>
      </w:pPr>
    </w:p>
    <w:p w14:paraId="7121DFE5">
      <w:pPr>
        <w:rPr>
          <w:rFonts w:hint="default"/>
          <w:lang w:val="en-US" w:eastAsia="zh-CN"/>
        </w:rPr>
      </w:pPr>
    </w:p>
    <w:p w14:paraId="103171E5">
      <w:pPr>
        <w:rPr>
          <w:rFonts w:hint="default"/>
          <w:lang w:val="en-US" w:eastAsia="zh-CN"/>
        </w:rPr>
      </w:pPr>
    </w:p>
    <w:p w14:paraId="2181B309">
      <w:pPr>
        <w:rPr>
          <w:rFonts w:hint="default"/>
          <w:lang w:val="en-US" w:eastAsia="zh-CN"/>
        </w:rPr>
      </w:pPr>
    </w:p>
    <w:p w14:paraId="58BEAD2F">
      <w:pPr>
        <w:rPr>
          <w:rFonts w:hint="default"/>
          <w:lang w:val="en-US" w:eastAsia="zh-CN"/>
        </w:rPr>
      </w:pPr>
    </w:p>
    <w:p w14:paraId="61B62F20">
      <w:pPr>
        <w:rPr>
          <w:rFonts w:hint="default"/>
          <w:lang w:val="en-US" w:eastAsia="zh-CN"/>
        </w:rPr>
      </w:pPr>
    </w:p>
    <w:p w14:paraId="4B93C4DD">
      <w:pPr>
        <w:rPr>
          <w:rFonts w:hint="default"/>
          <w:lang w:val="en-US" w:eastAsia="zh-CN"/>
        </w:rPr>
      </w:pPr>
    </w:p>
    <w:p w14:paraId="5BC220E3">
      <w:pPr>
        <w:rPr>
          <w:rFonts w:hint="default"/>
          <w:lang w:val="en-US" w:eastAsia="zh-CN"/>
        </w:rPr>
      </w:pPr>
    </w:p>
    <w:p w14:paraId="0A8CC505">
      <w:pPr>
        <w:rPr>
          <w:rFonts w:hint="default"/>
          <w:lang w:val="en-US" w:eastAsia="zh-CN"/>
        </w:rPr>
      </w:pPr>
    </w:p>
    <w:p w14:paraId="551AD1D3">
      <w:pPr>
        <w:rPr>
          <w:rFonts w:hint="default"/>
          <w:lang w:val="en-US" w:eastAsia="zh-CN"/>
        </w:rPr>
      </w:pPr>
    </w:p>
    <w:p w14:paraId="5B8D1C8E">
      <w:pPr>
        <w:rPr>
          <w:rFonts w:hint="default"/>
          <w:lang w:val="en-US" w:eastAsia="zh-CN"/>
        </w:rPr>
      </w:pPr>
    </w:p>
    <w:p w14:paraId="0018DDC6">
      <w:pPr>
        <w:rPr>
          <w:rFonts w:hint="default"/>
          <w:lang w:val="en-US" w:eastAsia="zh-CN"/>
        </w:rPr>
      </w:pPr>
    </w:p>
    <w:p w14:paraId="474C9238">
      <w:pPr>
        <w:rPr>
          <w:rFonts w:hint="default"/>
          <w:lang w:val="en-US" w:eastAsia="zh-CN"/>
        </w:rPr>
      </w:pPr>
    </w:p>
    <w:p w14:paraId="1608D5DF">
      <w:pPr>
        <w:rPr>
          <w:rFonts w:hint="default"/>
          <w:lang w:val="en-US" w:eastAsia="zh-CN"/>
        </w:rPr>
      </w:pPr>
    </w:p>
    <w:p w14:paraId="79611A1C">
      <w:pPr>
        <w:rPr>
          <w:rFonts w:hint="default"/>
          <w:lang w:val="en-US" w:eastAsia="zh-CN"/>
        </w:rPr>
      </w:pPr>
    </w:p>
    <w:p w14:paraId="1C4B1AC5">
      <w:pPr>
        <w:rPr>
          <w:rFonts w:hint="default"/>
          <w:lang w:val="en-US" w:eastAsia="zh-CN"/>
        </w:rPr>
      </w:pPr>
    </w:p>
    <w:p w14:paraId="5D5913A2">
      <w:pPr>
        <w:rPr>
          <w:rFonts w:hint="default"/>
          <w:lang w:val="en-US" w:eastAsia="zh-CN"/>
        </w:rPr>
      </w:pPr>
    </w:p>
    <w:p w14:paraId="6E9E0776">
      <w:pPr>
        <w:rPr>
          <w:rFonts w:hint="default"/>
          <w:lang w:val="en-US" w:eastAsia="zh-CN"/>
        </w:rPr>
      </w:pPr>
    </w:p>
    <w:p w14:paraId="522E77C8">
      <w:pPr>
        <w:rPr>
          <w:rFonts w:hint="default"/>
          <w:lang w:val="en-US" w:eastAsia="zh-CN"/>
        </w:rPr>
      </w:pPr>
    </w:p>
    <w:p w14:paraId="2DCCBE87">
      <w:pPr>
        <w:rPr>
          <w:rFonts w:hint="default"/>
          <w:lang w:val="en-US" w:eastAsia="zh-CN"/>
        </w:rPr>
      </w:pPr>
    </w:p>
    <w:p w14:paraId="3CF7A8F4">
      <w:pPr>
        <w:rPr>
          <w:rFonts w:hint="default"/>
          <w:lang w:val="en-US" w:eastAsia="zh-CN"/>
        </w:rPr>
      </w:pPr>
    </w:p>
    <w:p w14:paraId="2C1E58DB">
      <w:pPr>
        <w:rPr>
          <w:rFonts w:hint="default"/>
          <w:lang w:val="en-US" w:eastAsia="zh-CN"/>
        </w:rPr>
      </w:pPr>
    </w:p>
    <w:p w14:paraId="45F6EBDF">
      <w:pPr>
        <w:rPr>
          <w:rFonts w:hint="default"/>
          <w:lang w:val="en-US" w:eastAsia="zh-CN"/>
        </w:rPr>
      </w:pPr>
    </w:p>
    <w:p w14:paraId="14A2827B">
      <w:pPr>
        <w:rPr>
          <w:rFonts w:hint="default"/>
          <w:lang w:val="en-US" w:eastAsia="zh-CN"/>
        </w:rPr>
      </w:pPr>
    </w:p>
    <w:p w14:paraId="77E2381A">
      <w:pPr>
        <w:rPr>
          <w:rFonts w:hint="default"/>
          <w:lang w:val="en-US" w:eastAsia="zh-CN"/>
        </w:rPr>
      </w:pPr>
    </w:p>
    <w:p w14:paraId="664934CC">
      <w:pPr>
        <w:rPr>
          <w:rFonts w:hint="default"/>
          <w:lang w:val="en-US" w:eastAsia="zh-CN"/>
        </w:rPr>
      </w:pPr>
    </w:p>
    <w:p w14:paraId="3A0903E1">
      <w:pPr>
        <w:rPr>
          <w:rFonts w:hint="default"/>
          <w:lang w:val="en-US" w:eastAsia="zh-CN"/>
        </w:rPr>
      </w:pPr>
    </w:p>
    <w:p w14:paraId="605F7307">
      <w:pPr>
        <w:rPr>
          <w:rFonts w:hint="default"/>
          <w:lang w:val="en-US" w:eastAsia="zh-CN"/>
        </w:rPr>
      </w:pPr>
    </w:p>
    <w:p w14:paraId="1DBD9056">
      <w:pPr>
        <w:rPr>
          <w:rFonts w:hint="default"/>
          <w:lang w:val="en-US" w:eastAsia="zh-CN"/>
        </w:rPr>
      </w:pPr>
    </w:p>
    <w:p w14:paraId="6EFFC8A4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需要进行布局调整的界面资源</w:t>
      </w:r>
    </w:p>
    <w:p w14:paraId="5DBEE0E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 进入游戏之后的banner界面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8FCB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DE22F8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68595" cy="2418080"/>
                  <wp:effectExtent l="0" t="0" r="8255" b="1270"/>
                  <wp:docPr id="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241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54B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E3EFD8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左图为游戏内的进入游戏之后的banner弹框，红框中的美术字需要替换为：轻松开箱换装，再战热血沙城。</w:t>
            </w:r>
          </w:p>
        </w:tc>
      </w:tr>
    </w:tbl>
    <w:p w14:paraId="1C7D8C6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 武器祝福功能界面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812"/>
        <w:gridCol w:w="4710"/>
      </w:tblGrid>
      <w:tr w14:paraId="17A64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812" w:type="dxa"/>
          </w:tcPr>
          <w:p w14:paraId="5ADF80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273300" cy="1049020"/>
                  <wp:effectExtent l="0" t="0" r="12700" b="17780"/>
                  <wp:docPr id="4" name="图片 4" descr="727ce1808f372fb41896a92d793b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727ce1808f372fb41896a92d793b26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300" cy="1049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0" w:type="dxa"/>
          </w:tcPr>
          <w:p w14:paraId="648634E2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851785" cy="1946910"/>
                  <wp:effectExtent l="0" t="0" r="5715" b="1524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785" cy="194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D93E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2"/>
          </w:tcPr>
          <w:p w14:paraId="4C3354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左图为我们游戏中的界面状态；右图为参考图。需要说明一点就是，我们有幸运符和保底符的两个道具，所以最好界面上能有两个道具图标的位置。</w:t>
            </w:r>
          </w:p>
        </w:tc>
      </w:tr>
    </w:tbl>
    <w:p w14:paraId="6805FDEF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只需要进行资源替换的界面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8D92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2398D7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5260340" cy="2427605"/>
                  <wp:effectExtent l="0" t="0" r="16510" b="10795"/>
                  <wp:docPr id="5" name="图片 5" descr="692bd437feb57c1512ecaf597487e8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692bd437feb57c1512ecaf597487e8d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340" cy="242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DAAB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61D03F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聊天的弹出界面，包括左侧的主界面和右侧的快捷包裹界面，功能按钮图标可以换个样式。</w:t>
            </w:r>
          </w:p>
        </w:tc>
      </w:tr>
      <w:tr w14:paraId="75312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FAAE7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5260340" cy="2427605"/>
                  <wp:effectExtent l="0" t="0" r="16510" b="10795"/>
                  <wp:docPr id="6" name="图片 6" descr="65567f03150443aa03295cdf51c66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65567f03150443aa03295cdf51c663b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340" cy="242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B02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70F45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沙城传送功能界面，界面内容如图所示，界面内容不变，换一下排版不一样即可。</w:t>
            </w:r>
          </w:p>
        </w:tc>
      </w:tr>
      <w:tr w14:paraId="0F11E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08685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5260340" cy="2427605"/>
                  <wp:effectExtent l="0" t="0" r="16510" b="10795"/>
                  <wp:docPr id="7" name="图片 7" descr="269828f2cf7246dbc2c7b29cda9ed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269828f2cf7246dbc2c7b29cda9ed9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340" cy="242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D40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35ED9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通用的NPC弹框界面，内容如图所示，左上角的NPC弹框界面，换一个版式差异化即可。</w:t>
            </w:r>
          </w:p>
        </w:tc>
      </w:tr>
      <w:tr w14:paraId="6F537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08381E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5260340" cy="2427605"/>
                  <wp:effectExtent l="0" t="0" r="16510" b="10795"/>
                  <wp:docPr id="8" name="图片 8" descr="09e8423adab9a251252dad0951c2b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09e8423adab9a251252dad0951c2bb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340" cy="242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CBC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D546C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如上图所示，为通用的弹框提示框，可以给一个差异化的通用底板和通用小型按钮。</w:t>
            </w:r>
          </w:p>
        </w:tc>
      </w:tr>
      <w:tr w14:paraId="4297F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8D83B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5260340" cy="2427605"/>
                  <wp:effectExtent l="0" t="0" r="16510" b="10795"/>
                  <wp:docPr id="9" name="图片 9" descr="452cc6d62992540de068bdc110e3e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452cc6d62992540de068bdc110e3e3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340" cy="242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319B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6BD0D6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沙巴克奖励界面，界面内容如上图所示，做一个界面差异化即可。</w:t>
            </w:r>
          </w:p>
        </w:tc>
      </w:tr>
      <w:tr w14:paraId="08450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D7EFE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5260340" cy="2427605"/>
                  <wp:effectExtent l="0" t="0" r="16510" b="10795"/>
                  <wp:docPr id="10" name="图片 10" descr="58d5afe84b28b68c14793b9fd1338f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58d5afe84b28b68c14793b9fd1338f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340" cy="242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7AB7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6F6047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斗笠功能界面，换一个底板做差异化即可。界面条框上不要写斗笠的名字。</w:t>
            </w:r>
          </w:p>
        </w:tc>
      </w:tr>
      <w:tr w14:paraId="6155E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446CF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5260340" cy="2427605"/>
                  <wp:effectExtent l="0" t="0" r="16510" b="10795"/>
                  <wp:docPr id="11" name="图片 11" descr="bcac4c2c222e5fffa5dd40d4929e3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bcac4c2c222e5fffa5dd40d4929e3e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340" cy="242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4C9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1193A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通用的小型弹出框，姐买你内容如图所示，做一个界面差异化。界面标题去除，由程序来写。</w:t>
            </w:r>
          </w:p>
        </w:tc>
      </w:tr>
      <w:tr w14:paraId="1FCD9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1D382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5260340" cy="2427605"/>
                  <wp:effectExtent l="0" t="0" r="16510" b="10795"/>
                  <wp:docPr id="12" name="图片 12" descr="d0b81dd522f65fa5dd8bb8e45671e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d0b81dd522f65fa5dd8bb8e45671e7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340" cy="242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4C43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2EF5E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公告提示弹框，做一个差异化的弹框底板即可。</w:t>
            </w:r>
          </w:p>
        </w:tc>
      </w:tr>
      <w:tr w14:paraId="2DDBD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8DCA8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5260340" cy="2427605"/>
                  <wp:effectExtent l="0" t="0" r="16510" b="10795"/>
                  <wp:docPr id="14" name="图片 14" descr="46dc660b1ee267fdcc6dee8df7dd9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46dc660b1ee267fdcc6dee8df7dd91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340" cy="242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080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9940F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世界传送通用界面，内容如图所示，做一个差异化的底板和通用按钮即可。</w:t>
            </w:r>
          </w:p>
        </w:tc>
      </w:tr>
      <w:tr w14:paraId="1CF1D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08268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5260340" cy="2427605"/>
                  <wp:effectExtent l="0" t="0" r="16510" b="10795"/>
                  <wp:docPr id="15" name="图片 15" descr="3e8af30a0f9dff9f0e7286363b5c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3e8af30a0f9dff9f0e7286363b5c87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340" cy="242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52C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5293D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通用的地图NPC传送弹框，差异化底板即可。</w:t>
            </w:r>
          </w:p>
        </w:tc>
      </w:tr>
      <w:tr w14:paraId="5218A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7FC20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5260340" cy="2427605"/>
                  <wp:effectExtent l="0" t="0" r="16510" b="10795"/>
                  <wp:docPr id="16" name="图片 16" descr="55432fd01d439c4b0c0eaa717c658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55432fd01d439c4b0c0eaa717c658c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340" cy="242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A6E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69938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通用的地图进入弹框界面，差异化底板即可。</w:t>
            </w:r>
          </w:p>
        </w:tc>
      </w:tr>
      <w:tr w14:paraId="01379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68DBC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5260340" cy="2427605"/>
                  <wp:effectExtent l="0" t="0" r="16510" b="10795"/>
                  <wp:docPr id="17" name="图片 17" descr="e36ec957d148cb904b750685729d3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e36ec957d148cb904b750685729d3c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340" cy="242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C790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F0816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称号提升功能界面，底板布局需要差异化，中间的角色模型可以替换一个。</w:t>
            </w:r>
          </w:p>
        </w:tc>
      </w:tr>
    </w:tbl>
    <w:p w14:paraId="7F4E0DB0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角色头顶的称号资源更换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6950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415BA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667000" cy="2028825"/>
                  <wp:effectExtent l="0" t="0" r="0" b="9525"/>
                  <wp:docPr id="18" name="图片 18" descr="17507777798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175077777985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9C4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0396B1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游戏内角色头顶的称号资源，目前需要更换一批，都是带有称号文字的，需要15个左右。如果需要提供文字重新制作，我再提供具体称号的名字。</w:t>
            </w:r>
            <w:bookmarkStart w:id="0" w:name="_GoBack"/>
            <w:bookmarkEnd w:id="0"/>
          </w:p>
        </w:tc>
      </w:tr>
    </w:tbl>
    <w:p w14:paraId="480E95E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BC61BB"/>
    <w:multiLevelType w:val="singleLevel"/>
    <w:tmpl w:val="4BBC61BB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22438"/>
    <w:rsid w:val="05403212"/>
    <w:rsid w:val="116876D7"/>
    <w:rsid w:val="20D742EC"/>
    <w:rsid w:val="21240736"/>
    <w:rsid w:val="253D7F8B"/>
    <w:rsid w:val="27B011ED"/>
    <w:rsid w:val="29E27FAA"/>
    <w:rsid w:val="2C0C56B3"/>
    <w:rsid w:val="2E466771"/>
    <w:rsid w:val="45EC2A38"/>
    <w:rsid w:val="489615DD"/>
    <w:rsid w:val="54972965"/>
    <w:rsid w:val="63B44ED4"/>
    <w:rsid w:val="7561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2025-06-24T14:37:22Z</dcterms:created>
  <dc:creator>Administrator</dc:creator>
  <cp:lastModifiedBy>企业用户_255442825</cp:lastModifiedBy>
  <dcterms:modified xsi:type="dcterms:W3CDTF">2025-06-24T15:13:18Z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eyJoZGlkIjoiODVjNDc4ODYzMDRhNzczNDcxYThjMzcwYzI4YjI2N2UiLCJ1c2VySWQiOiIxNTI3OTQyMzU2In0=</vt:lpwstr>
  </property>
  <property fmtid="{D5CDD505-2E9C-101B-9397-08002B2CF9AE}" pid="4" name="ICV">
    <vt:lpwstr>F0F42FB39644455997889FFA29AE5C92_12</vt:lpwstr>
  </property>
</Properties>
</file>