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911C2">
      <w:pPr>
        <w:pStyle w:val="2"/>
        <w:bidi w:val="0"/>
        <w:jc w:val="center"/>
        <w:rPr>
          <w:rFonts w:hint="eastAsia"/>
          <w:lang w:val="en-US" w:eastAsia="zh-CN"/>
        </w:rPr>
      </w:pPr>
      <w:bookmarkStart w:id="0" w:name="_Toc29770"/>
      <w:r>
        <w:rPr>
          <w:rFonts w:hint="eastAsia"/>
          <w:lang w:val="en-US" w:eastAsia="zh-CN"/>
        </w:rPr>
        <w:t>特权卡功能</w:t>
      </w:r>
      <w:bookmarkEnd w:id="0"/>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
        <w:gridCol w:w="1153"/>
        <w:gridCol w:w="5747"/>
        <w:gridCol w:w="825"/>
      </w:tblGrid>
      <w:tr w14:paraId="570B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tcBorders>
              <w:top w:val="single" w:color="4874CB" w:sz="12" w:space="0"/>
              <w:left w:val="nil"/>
              <w:bottom w:val="single" w:color="4874CB" w:sz="4" w:space="0"/>
              <w:right w:val="nil"/>
              <w:tl2br w:val="nil"/>
            </w:tcBorders>
            <w:shd w:val="clear" w:color="auto" w:fill="FFFFFF"/>
          </w:tcPr>
          <w:p w14:paraId="7B102419">
            <w:pPr>
              <w:rPr>
                <w:rFonts w:hint="default"/>
                <w:b w:val="0"/>
                <w:color w:val="000000"/>
                <w:vertAlign w:val="baseline"/>
                <w:lang w:val="en-US" w:eastAsia="zh-CN"/>
              </w:rPr>
            </w:pPr>
            <w:r>
              <w:rPr>
                <w:rFonts w:hint="eastAsia"/>
                <w:b w:val="0"/>
                <w:color w:val="000000"/>
                <w:vertAlign w:val="baseline"/>
                <w:lang w:val="en-US" w:eastAsia="zh-CN"/>
              </w:rPr>
              <w:t>编号</w:t>
            </w:r>
          </w:p>
        </w:tc>
        <w:tc>
          <w:tcPr>
            <w:tcW w:w="1153" w:type="dxa"/>
            <w:tcBorders>
              <w:top w:val="single" w:color="4874CB" w:sz="12" w:space="0"/>
              <w:left w:val="nil"/>
              <w:bottom w:val="single" w:color="4874CB" w:sz="4" w:space="0"/>
              <w:right w:val="nil"/>
            </w:tcBorders>
            <w:shd w:val="clear" w:color="auto" w:fill="FFFFFF"/>
          </w:tcPr>
          <w:p w14:paraId="5FE5DB43">
            <w:pPr>
              <w:rPr>
                <w:rFonts w:hint="default"/>
                <w:b w:val="0"/>
                <w:color w:val="000000"/>
                <w:vertAlign w:val="baseline"/>
                <w:lang w:val="en-US" w:eastAsia="zh-CN"/>
              </w:rPr>
            </w:pPr>
            <w:r>
              <w:rPr>
                <w:rFonts w:hint="eastAsia"/>
                <w:b w:val="0"/>
                <w:color w:val="000000"/>
                <w:vertAlign w:val="baseline"/>
                <w:lang w:val="en-US" w:eastAsia="zh-CN"/>
              </w:rPr>
              <w:t>日期</w:t>
            </w:r>
          </w:p>
        </w:tc>
        <w:tc>
          <w:tcPr>
            <w:tcW w:w="5747" w:type="dxa"/>
            <w:tcBorders>
              <w:top w:val="single" w:color="4874CB" w:sz="12" w:space="0"/>
              <w:left w:val="nil"/>
              <w:bottom w:val="single" w:color="4874CB" w:sz="4" w:space="0"/>
              <w:right w:val="nil"/>
            </w:tcBorders>
            <w:shd w:val="clear" w:color="auto" w:fill="FFFFFF"/>
          </w:tcPr>
          <w:p w14:paraId="2C14B6C4">
            <w:pPr>
              <w:rPr>
                <w:rFonts w:hint="default"/>
                <w:b w:val="0"/>
                <w:color w:val="000000"/>
                <w:vertAlign w:val="baseline"/>
                <w:lang w:val="en-US" w:eastAsia="zh-CN"/>
              </w:rPr>
            </w:pPr>
            <w:r>
              <w:rPr>
                <w:rFonts w:hint="eastAsia"/>
                <w:b w:val="0"/>
                <w:color w:val="000000"/>
                <w:vertAlign w:val="baseline"/>
                <w:lang w:val="en-US" w:eastAsia="zh-CN"/>
              </w:rPr>
              <w:t>内容</w:t>
            </w:r>
          </w:p>
        </w:tc>
        <w:tc>
          <w:tcPr>
            <w:tcW w:w="825" w:type="dxa"/>
            <w:tcBorders>
              <w:top w:val="single" w:color="4874CB" w:sz="12" w:space="0"/>
              <w:left w:val="nil"/>
              <w:bottom w:val="single" w:color="4874CB" w:sz="4" w:space="0"/>
              <w:right w:val="nil"/>
            </w:tcBorders>
            <w:shd w:val="clear" w:color="auto" w:fill="FFFFFF"/>
          </w:tcPr>
          <w:p w14:paraId="227ABC04">
            <w:pPr>
              <w:rPr>
                <w:rFonts w:hint="default"/>
                <w:b w:val="0"/>
                <w:color w:val="000000"/>
                <w:vertAlign w:val="baseline"/>
                <w:lang w:val="en-US" w:eastAsia="zh-CN"/>
              </w:rPr>
            </w:pPr>
            <w:r>
              <w:rPr>
                <w:rFonts w:hint="eastAsia"/>
                <w:b w:val="0"/>
                <w:color w:val="000000"/>
                <w:vertAlign w:val="baseline"/>
                <w:lang w:val="en-US" w:eastAsia="zh-CN"/>
              </w:rPr>
              <w:t>负责</w:t>
            </w:r>
          </w:p>
        </w:tc>
      </w:tr>
      <w:tr w14:paraId="699E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tcBorders>
              <w:top w:val="single" w:color="4874CB" w:sz="4" w:space="0"/>
              <w:left w:val="nil"/>
              <w:bottom w:val="nil"/>
              <w:right w:val="nil"/>
            </w:tcBorders>
            <w:shd w:val="clear" w:color="auto" w:fill="FFFFFF"/>
          </w:tcPr>
          <w:p w14:paraId="0106CC62">
            <w:pPr>
              <w:rPr>
                <w:rFonts w:hint="default"/>
                <w:b w:val="0"/>
                <w:color w:val="000000"/>
                <w:vertAlign w:val="baseline"/>
                <w:lang w:val="en-US" w:eastAsia="zh-CN"/>
              </w:rPr>
            </w:pPr>
            <w:r>
              <w:rPr>
                <w:rFonts w:hint="eastAsia"/>
                <w:b w:val="0"/>
                <w:color w:val="000000"/>
                <w:vertAlign w:val="baseline"/>
                <w:lang w:val="en-US" w:eastAsia="zh-CN"/>
              </w:rPr>
              <w:t>1.0</w:t>
            </w:r>
          </w:p>
        </w:tc>
        <w:tc>
          <w:tcPr>
            <w:tcW w:w="1153" w:type="dxa"/>
            <w:tcBorders>
              <w:top w:val="single" w:color="4874CB" w:sz="4" w:space="0"/>
              <w:left w:val="nil"/>
              <w:bottom w:val="nil"/>
              <w:right w:val="nil"/>
            </w:tcBorders>
            <w:shd w:val="clear" w:color="auto" w:fill="FFFFFF"/>
          </w:tcPr>
          <w:p w14:paraId="46395D72">
            <w:pPr>
              <w:rPr>
                <w:rFonts w:hint="default"/>
                <w:b w:val="0"/>
                <w:color w:val="000000"/>
                <w:vertAlign w:val="baseline"/>
                <w:lang w:val="en-US" w:eastAsia="zh-CN"/>
              </w:rPr>
            </w:pPr>
            <w:r>
              <w:rPr>
                <w:rFonts w:hint="eastAsia"/>
                <w:b w:val="0"/>
                <w:color w:val="000000"/>
                <w:vertAlign w:val="baseline"/>
                <w:lang w:val="en-US" w:eastAsia="zh-CN"/>
              </w:rPr>
              <w:t>2025/8/13</w:t>
            </w:r>
          </w:p>
        </w:tc>
        <w:tc>
          <w:tcPr>
            <w:tcW w:w="5747" w:type="dxa"/>
            <w:tcBorders>
              <w:top w:val="single" w:color="4874CB" w:sz="4" w:space="0"/>
              <w:left w:val="nil"/>
              <w:bottom w:val="nil"/>
              <w:right w:val="nil"/>
            </w:tcBorders>
            <w:shd w:val="clear" w:color="auto" w:fill="FFFFFF"/>
          </w:tcPr>
          <w:p w14:paraId="0573F074">
            <w:pPr>
              <w:rPr>
                <w:rFonts w:hint="default"/>
                <w:b w:val="0"/>
                <w:color w:val="000000"/>
                <w:vertAlign w:val="baseline"/>
                <w:lang w:val="en-US" w:eastAsia="zh-CN"/>
              </w:rPr>
            </w:pPr>
            <w:r>
              <w:rPr>
                <w:rFonts w:hint="eastAsia"/>
                <w:b w:val="0"/>
                <w:color w:val="000000"/>
                <w:vertAlign w:val="baseline"/>
                <w:lang w:val="en-US" w:eastAsia="zh-CN"/>
              </w:rPr>
              <w:t>设定特权卡功能的界面表现与操作逻辑</w:t>
            </w:r>
          </w:p>
        </w:tc>
        <w:tc>
          <w:tcPr>
            <w:tcW w:w="825" w:type="dxa"/>
            <w:tcBorders>
              <w:top w:val="single" w:color="4874CB" w:sz="4" w:space="0"/>
              <w:left w:val="nil"/>
              <w:bottom w:val="nil"/>
              <w:right w:val="nil"/>
            </w:tcBorders>
            <w:shd w:val="clear" w:color="auto" w:fill="FFFFFF"/>
          </w:tcPr>
          <w:p w14:paraId="78561F7C">
            <w:pPr>
              <w:rPr>
                <w:rFonts w:hint="default"/>
                <w:b w:val="0"/>
                <w:color w:val="000000"/>
                <w:vertAlign w:val="baseline"/>
                <w:lang w:val="en-US" w:eastAsia="zh-CN"/>
              </w:rPr>
            </w:pPr>
            <w:r>
              <w:rPr>
                <w:rFonts w:hint="eastAsia"/>
                <w:b w:val="0"/>
                <w:color w:val="000000"/>
                <w:vertAlign w:val="baseline"/>
                <w:lang w:val="en-US" w:eastAsia="zh-CN"/>
              </w:rPr>
              <w:t>马超</w:t>
            </w:r>
          </w:p>
        </w:tc>
      </w:tr>
      <w:tr w14:paraId="6FA6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tcBorders>
              <w:top w:val="nil"/>
              <w:left w:val="nil"/>
              <w:bottom w:val="nil"/>
              <w:right w:val="nil"/>
            </w:tcBorders>
            <w:shd w:val="clear" w:color="auto" w:fill="FFFFFF"/>
          </w:tcPr>
          <w:p w14:paraId="7635E286">
            <w:pPr>
              <w:rPr>
                <w:rFonts w:hint="default"/>
                <w:b w:val="0"/>
                <w:color w:val="000000"/>
                <w:vertAlign w:val="baseline"/>
                <w:lang w:val="en-US" w:eastAsia="zh-CN"/>
              </w:rPr>
            </w:pPr>
          </w:p>
        </w:tc>
        <w:tc>
          <w:tcPr>
            <w:tcW w:w="1153" w:type="dxa"/>
            <w:tcBorders>
              <w:top w:val="nil"/>
              <w:left w:val="nil"/>
              <w:bottom w:val="nil"/>
              <w:right w:val="nil"/>
            </w:tcBorders>
            <w:shd w:val="clear" w:color="auto" w:fill="FFFFFF"/>
          </w:tcPr>
          <w:p w14:paraId="75D2A82C">
            <w:pPr>
              <w:rPr>
                <w:rFonts w:hint="default"/>
                <w:b w:val="0"/>
                <w:color w:val="000000"/>
                <w:vertAlign w:val="baseline"/>
                <w:lang w:val="en-US" w:eastAsia="zh-CN"/>
              </w:rPr>
            </w:pPr>
          </w:p>
        </w:tc>
        <w:tc>
          <w:tcPr>
            <w:tcW w:w="5747" w:type="dxa"/>
            <w:tcBorders>
              <w:top w:val="nil"/>
              <w:left w:val="nil"/>
              <w:bottom w:val="nil"/>
              <w:right w:val="nil"/>
            </w:tcBorders>
            <w:shd w:val="clear" w:color="auto" w:fill="FFFFFF"/>
          </w:tcPr>
          <w:p w14:paraId="5A05C5F7">
            <w:pPr>
              <w:rPr>
                <w:rFonts w:hint="default"/>
                <w:b w:val="0"/>
                <w:color w:val="000000"/>
                <w:vertAlign w:val="baseline"/>
                <w:lang w:val="en-US" w:eastAsia="zh-CN"/>
              </w:rPr>
            </w:pPr>
          </w:p>
        </w:tc>
        <w:tc>
          <w:tcPr>
            <w:tcW w:w="825" w:type="dxa"/>
            <w:tcBorders>
              <w:top w:val="nil"/>
              <w:left w:val="nil"/>
              <w:bottom w:val="nil"/>
              <w:right w:val="nil"/>
            </w:tcBorders>
            <w:shd w:val="clear" w:color="auto" w:fill="FFFFFF"/>
          </w:tcPr>
          <w:p w14:paraId="1DE653E8">
            <w:pPr>
              <w:rPr>
                <w:rFonts w:hint="default"/>
                <w:b w:val="0"/>
                <w:color w:val="000000"/>
                <w:vertAlign w:val="baseline"/>
                <w:lang w:val="en-US" w:eastAsia="zh-CN"/>
              </w:rPr>
            </w:pPr>
          </w:p>
        </w:tc>
      </w:tr>
      <w:tr w14:paraId="6495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tcBorders>
              <w:top w:val="nil"/>
              <w:left w:val="nil"/>
              <w:bottom w:val="nil"/>
              <w:right w:val="nil"/>
            </w:tcBorders>
            <w:shd w:val="clear" w:color="auto" w:fill="FFFFFF"/>
          </w:tcPr>
          <w:p w14:paraId="2F5C46DC">
            <w:pPr>
              <w:rPr>
                <w:rFonts w:hint="default"/>
                <w:b w:val="0"/>
                <w:color w:val="000000"/>
                <w:vertAlign w:val="baseline"/>
                <w:lang w:val="en-US" w:eastAsia="zh-CN"/>
              </w:rPr>
            </w:pPr>
          </w:p>
        </w:tc>
        <w:tc>
          <w:tcPr>
            <w:tcW w:w="1153" w:type="dxa"/>
            <w:tcBorders>
              <w:top w:val="nil"/>
              <w:left w:val="nil"/>
              <w:bottom w:val="nil"/>
              <w:right w:val="nil"/>
            </w:tcBorders>
            <w:shd w:val="clear" w:color="auto" w:fill="FFFFFF"/>
          </w:tcPr>
          <w:p w14:paraId="431D61A4">
            <w:pPr>
              <w:rPr>
                <w:rFonts w:hint="default"/>
                <w:b w:val="0"/>
                <w:color w:val="000000"/>
                <w:vertAlign w:val="baseline"/>
                <w:lang w:val="en-US" w:eastAsia="zh-CN"/>
              </w:rPr>
            </w:pPr>
          </w:p>
        </w:tc>
        <w:tc>
          <w:tcPr>
            <w:tcW w:w="5747" w:type="dxa"/>
            <w:tcBorders>
              <w:top w:val="nil"/>
              <w:left w:val="nil"/>
              <w:bottom w:val="nil"/>
              <w:right w:val="nil"/>
            </w:tcBorders>
            <w:shd w:val="clear" w:color="auto" w:fill="FFFFFF"/>
          </w:tcPr>
          <w:p w14:paraId="63709EDE">
            <w:pPr>
              <w:rPr>
                <w:rFonts w:hint="default"/>
                <w:b w:val="0"/>
                <w:color w:val="000000"/>
                <w:vertAlign w:val="baseline"/>
                <w:lang w:val="en-US" w:eastAsia="zh-CN"/>
              </w:rPr>
            </w:pPr>
          </w:p>
        </w:tc>
        <w:tc>
          <w:tcPr>
            <w:tcW w:w="825" w:type="dxa"/>
            <w:tcBorders>
              <w:top w:val="nil"/>
              <w:left w:val="nil"/>
              <w:bottom w:val="nil"/>
              <w:right w:val="nil"/>
            </w:tcBorders>
            <w:shd w:val="clear" w:color="auto" w:fill="FFFFFF"/>
          </w:tcPr>
          <w:p w14:paraId="3A077290">
            <w:pPr>
              <w:rPr>
                <w:rFonts w:hint="default"/>
                <w:b w:val="0"/>
                <w:color w:val="000000"/>
                <w:vertAlign w:val="baseline"/>
                <w:lang w:val="en-US" w:eastAsia="zh-CN"/>
              </w:rPr>
            </w:pPr>
          </w:p>
        </w:tc>
      </w:tr>
      <w:tr w14:paraId="5E56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7" w:type="dxa"/>
            <w:tcBorders>
              <w:top w:val="nil"/>
              <w:left w:val="nil"/>
              <w:bottom w:val="single" w:color="4874CB" w:sz="12" w:space="0"/>
              <w:right w:val="nil"/>
            </w:tcBorders>
            <w:shd w:val="clear" w:color="auto" w:fill="FFFFFF"/>
          </w:tcPr>
          <w:p w14:paraId="23C686CA">
            <w:pPr>
              <w:rPr>
                <w:rFonts w:hint="default"/>
                <w:b w:val="0"/>
                <w:color w:val="000000"/>
                <w:vertAlign w:val="baseline"/>
                <w:lang w:val="en-US" w:eastAsia="zh-CN"/>
              </w:rPr>
            </w:pPr>
          </w:p>
        </w:tc>
        <w:tc>
          <w:tcPr>
            <w:tcW w:w="1153" w:type="dxa"/>
            <w:tcBorders>
              <w:top w:val="nil"/>
              <w:left w:val="nil"/>
              <w:bottom w:val="single" w:color="4874CB" w:sz="12" w:space="0"/>
              <w:right w:val="nil"/>
            </w:tcBorders>
            <w:shd w:val="clear" w:color="auto" w:fill="FFFFFF"/>
          </w:tcPr>
          <w:p w14:paraId="3B12834A">
            <w:pPr>
              <w:rPr>
                <w:rFonts w:hint="default"/>
                <w:b w:val="0"/>
                <w:color w:val="000000"/>
                <w:vertAlign w:val="baseline"/>
                <w:lang w:val="en-US" w:eastAsia="zh-CN"/>
              </w:rPr>
            </w:pPr>
          </w:p>
        </w:tc>
        <w:tc>
          <w:tcPr>
            <w:tcW w:w="5747" w:type="dxa"/>
            <w:tcBorders>
              <w:top w:val="nil"/>
              <w:left w:val="nil"/>
              <w:bottom w:val="single" w:color="4874CB" w:sz="12" w:space="0"/>
              <w:right w:val="nil"/>
            </w:tcBorders>
            <w:shd w:val="clear" w:color="auto" w:fill="FFFFFF"/>
          </w:tcPr>
          <w:p w14:paraId="2B9CF86C">
            <w:pPr>
              <w:rPr>
                <w:rFonts w:hint="default"/>
                <w:b w:val="0"/>
                <w:color w:val="000000"/>
                <w:vertAlign w:val="baseline"/>
                <w:lang w:val="en-US" w:eastAsia="zh-CN"/>
              </w:rPr>
            </w:pPr>
          </w:p>
        </w:tc>
        <w:tc>
          <w:tcPr>
            <w:tcW w:w="825" w:type="dxa"/>
            <w:tcBorders>
              <w:top w:val="nil"/>
              <w:left w:val="nil"/>
              <w:bottom w:val="single" w:color="4874CB" w:sz="12" w:space="0"/>
              <w:right w:val="nil"/>
            </w:tcBorders>
            <w:shd w:val="clear" w:color="auto" w:fill="FFFFFF"/>
          </w:tcPr>
          <w:p w14:paraId="104D40F9">
            <w:pPr>
              <w:rPr>
                <w:rFonts w:hint="default"/>
                <w:b w:val="0"/>
                <w:color w:val="000000"/>
                <w:vertAlign w:val="baseline"/>
                <w:lang w:val="en-US" w:eastAsia="zh-CN"/>
              </w:rPr>
            </w:pPr>
          </w:p>
        </w:tc>
      </w:tr>
    </w:tbl>
    <w:p w14:paraId="2BCF7ACC">
      <w:pPr>
        <w:pStyle w:val="7"/>
        <w:tabs>
          <w:tab w:val="right" w:leader="dot" w:pos="8306"/>
        </w:tabs>
      </w:pPr>
      <w:r>
        <w:rPr>
          <w:rFonts w:hint="default"/>
          <w:lang w:val="en-US" w:eastAsia="zh-CN"/>
        </w:rPr>
        <w:fldChar w:fldCharType="begin"/>
      </w:r>
      <w:r>
        <w:rPr>
          <w:rFonts w:hint="default"/>
          <w:lang w:val="en-US" w:eastAsia="zh-CN"/>
        </w:rPr>
        <w:instrText xml:space="preserve">TOC \o "1-4"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_Toc29770 </w:instrText>
      </w:r>
      <w:r>
        <w:rPr>
          <w:rFonts w:hint="default"/>
          <w:lang w:val="en-US" w:eastAsia="zh-CN"/>
        </w:rPr>
        <w:fldChar w:fldCharType="separate"/>
      </w:r>
      <w:r>
        <w:rPr>
          <w:rFonts w:hint="eastAsia"/>
          <w:lang w:val="en-US" w:eastAsia="zh-CN"/>
        </w:rPr>
        <w:t>特权卡功能</w:t>
      </w:r>
      <w:r>
        <w:tab/>
      </w:r>
      <w:r>
        <w:fldChar w:fldCharType="begin"/>
      </w:r>
      <w:r>
        <w:instrText xml:space="preserve"> PAGEREF _Toc29770 \h </w:instrText>
      </w:r>
      <w:r>
        <w:fldChar w:fldCharType="separate"/>
      </w:r>
      <w:r>
        <w:t>1</w:t>
      </w:r>
      <w:r>
        <w:fldChar w:fldCharType="end"/>
      </w:r>
      <w:r>
        <w:rPr>
          <w:rFonts w:hint="default"/>
          <w:lang w:val="en-US" w:eastAsia="zh-CN"/>
        </w:rPr>
        <w:fldChar w:fldCharType="end"/>
      </w:r>
    </w:p>
    <w:p w14:paraId="355EBD02">
      <w:pPr>
        <w:pStyle w:val="9"/>
        <w:tabs>
          <w:tab w:val="right" w:leader="dot" w:pos="8306"/>
        </w:tabs>
      </w:pPr>
      <w:r>
        <w:rPr>
          <w:rFonts w:hint="default"/>
          <w:lang w:val="en-US" w:eastAsia="zh-CN"/>
        </w:rPr>
        <w:fldChar w:fldCharType="begin"/>
      </w:r>
      <w:r>
        <w:rPr>
          <w:rFonts w:hint="default"/>
          <w:lang w:val="en-US" w:eastAsia="zh-CN"/>
        </w:rPr>
        <w:instrText xml:space="preserve"> HYPERLINK \l _Toc14691 </w:instrText>
      </w:r>
      <w:r>
        <w:rPr>
          <w:rFonts w:hint="default"/>
          <w:lang w:val="en-US" w:eastAsia="zh-CN"/>
        </w:rPr>
        <w:fldChar w:fldCharType="separate"/>
      </w:r>
      <w:r>
        <w:rPr>
          <w:rFonts w:hint="eastAsia"/>
          <w:lang w:val="en-US" w:eastAsia="zh-CN"/>
        </w:rPr>
        <w:t>一、 设计目的</w:t>
      </w:r>
      <w:r>
        <w:tab/>
      </w:r>
      <w:r>
        <w:fldChar w:fldCharType="begin"/>
      </w:r>
      <w:r>
        <w:instrText xml:space="preserve"> PAGEREF _Toc14691 \h </w:instrText>
      </w:r>
      <w:r>
        <w:fldChar w:fldCharType="separate"/>
      </w:r>
      <w:r>
        <w:t>2</w:t>
      </w:r>
      <w:r>
        <w:fldChar w:fldCharType="end"/>
      </w:r>
      <w:r>
        <w:rPr>
          <w:rFonts w:hint="default"/>
          <w:lang w:val="en-US" w:eastAsia="zh-CN"/>
        </w:rPr>
        <w:fldChar w:fldCharType="end"/>
      </w:r>
    </w:p>
    <w:p w14:paraId="3CE5C5FA">
      <w:pPr>
        <w:pStyle w:val="9"/>
        <w:tabs>
          <w:tab w:val="right" w:leader="dot" w:pos="8306"/>
        </w:tabs>
      </w:pPr>
      <w:r>
        <w:rPr>
          <w:rFonts w:hint="default"/>
          <w:lang w:val="en-US" w:eastAsia="zh-CN"/>
        </w:rPr>
        <w:fldChar w:fldCharType="begin"/>
      </w:r>
      <w:r>
        <w:rPr>
          <w:rFonts w:hint="default"/>
          <w:lang w:val="en-US" w:eastAsia="zh-CN"/>
        </w:rPr>
        <w:instrText xml:space="preserve"> HYPERLINK \l _Toc16936 </w:instrText>
      </w:r>
      <w:r>
        <w:rPr>
          <w:rFonts w:hint="default"/>
          <w:lang w:val="en-US" w:eastAsia="zh-CN"/>
        </w:rPr>
        <w:fldChar w:fldCharType="separate"/>
      </w:r>
      <w:r>
        <w:rPr>
          <w:rFonts w:hint="eastAsia"/>
          <w:lang w:val="en-US" w:eastAsia="zh-CN"/>
        </w:rPr>
        <w:t>二、 系统概述</w:t>
      </w:r>
      <w:r>
        <w:tab/>
      </w:r>
      <w:r>
        <w:fldChar w:fldCharType="begin"/>
      </w:r>
      <w:r>
        <w:instrText xml:space="preserve"> PAGEREF _Toc16936 \h </w:instrText>
      </w:r>
      <w:r>
        <w:fldChar w:fldCharType="separate"/>
      </w:r>
      <w:r>
        <w:t>2</w:t>
      </w:r>
      <w:r>
        <w:fldChar w:fldCharType="end"/>
      </w:r>
      <w:r>
        <w:rPr>
          <w:rFonts w:hint="default"/>
          <w:lang w:val="en-US" w:eastAsia="zh-CN"/>
        </w:rPr>
        <w:fldChar w:fldCharType="end"/>
      </w:r>
    </w:p>
    <w:p w14:paraId="4480E904">
      <w:pPr>
        <w:pStyle w:val="9"/>
        <w:tabs>
          <w:tab w:val="right" w:leader="dot" w:pos="8306"/>
        </w:tabs>
      </w:pPr>
      <w:r>
        <w:rPr>
          <w:rFonts w:hint="default"/>
          <w:lang w:val="en-US" w:eastAsia="zh-CN"/>
        </w:rPr>
        <w:fldChar w:fldCharType="begin"/>
      </w:r>
      <w:r>
        <w:rPr>
          <w:rFonts w:hint="default"/>
          <w:lang w:val="en-US" w:eastAsia="zh-CN"/>
        </w:rPr>
        <w:instrText xml:space="preserve"> HYPERLINK \l _Toc410 </w:instrText>
      </w:r>
      <w:r>
        <w:rPr>
          <w:rFonts w:hint="default"/>
          <w:lang w:val="en-US" w:eastAsia="zh-CN"/>
        </w:rPr>
        <w:fldChar w:fldCharType="separate"/>
      </w:r>
      <w:r>
        <w:rPr>
          <w:rFonts w:hint="eastAsia"/>
          <w:lang w:val="en-US" w:eastAsia="zh-CN"/>
        </w:rPr>
        <w:t>三、 实现方式</w:t>
      </w:r>
      <w:r>
        <w:tab/>
      </w:r>
      <w:r>
        <w:fldChar w:fldCharType="begin"/>
      </w:r>
      <w:r>
        <w:instrText xml:space="preserve"> PAGEREF _Toc410 \h </w:instrText>
      </w:r>
      <w:r>
        <w:fldChar w:fldCharType="separate"/>
      </w:r>
      <w:r>
        <w:t>2</w:t>
      </w:r>
      <w:r>
        <w:fldChar w:fldCharType="end"/>
      </w:r>
      <w:r>
        <w:rPr>
          <w:rFonts w:hint="default"/>
          <w:lang w:val="en-US" w:eastAsia="zh-CN"/>
        </w:rPr>
        <w:fldChar w:fldCharType="end"/>
      </w:r>
    </w:p>
    <w:p w14:paraId="66E81A6F">
      <w:pPr>
        <w:pStyle w:val="6"/>
        <w:tabs>
          <w:tab w:val="right" w:leader="dot" w:pos="8306"/>
        </w:tabs>
      </w:pPr>
      <w:r>
        <w:rPr>
          <w:rFonts w:hint="default"/>
          <w:lang w:val="en-US" w:eastAsia="zh-CN"/>
        </w:rPr>
        <w:fldChar w:fldCharType="begin"/>
      </w:r>
      <w:r>
        <w:rPr>
          <w:rFonts w:hint="default"/>
          <w:lang w:val="en-US" w:eastAsia="zh-CN"/>
        </w:rPr>
        <w:instrText xml:space="preserve"> HYPERLINK \l _Toc20530 </w:instrText>
      </w:r>
      <w:r>
        <w:rPr>
          <w:rFonts w:hint="default"/>
          <w:lang w:val="en-US" w:eastAsia="zh-CN"/>
        </w:rPr>
        <w:fldChar w:fldCharType="separate"/>
      </w:r>
      <w:r>
        <w:rPr>
          <w:rFonts w:hint="eastAsia"/>
          <w:lang w:val="en-US" w:eastAsia="zh-CN"/>
        </w:rPr>
        <w:t>3.1 功能界面</w:t>
      </w:r>
      <w:r>
        <w:tab/>
      </w:r>
      <w:r>
        <w:fldChar w:fldCharType="begin"/>
      </w:r>
      <w:r>
        <w:instrText xml:space="preserve"> PAGEREF _Toc20530 \h </w:instrText>
      </w:r>
      <w:r>
        <w:fldChar w:fldCharType="separate"/>
      </w:r>
      <w:r>
        <w:t>2</w:t>
      </w:r>
      <w:r>
        <w:fldChar w:fldCharType="end"/>
      </w:r>
      <w:r>
        <w:rPr>
          <w:rFonts w:hint="default"/>
          <w:lang w:val="en-US" w:eastAsia="zh-CN"/>
        </w:rPr>
        <w:fldChar w:fldCharType="end"/>
      </w:r>
    </w:p>
    <w:p w14:paraId="00073411">
      <w:pPr>
        <w:pStyle w:val="6"/>
        <w:tabs>
          <w:tab w:val="right" w:leader="dot" w:pos="8306"/>
        </w:tabs>
      </w:pPr>
      <w:r>
        <w:rPr>
          <w:rFonts w:hint="default"/>
          <w:lang w:val="en-US" w:eastAsia="zh-CN"/>
        </w:rPr>
        <w:fldChar w:fldCharType="begin"/>
      </w:r>
      <w:r>
        <w:rPr>
          <w:rFonts w:hint="default"/>
          <w:lang w:val="en-US" w:eastAsia="zh-CN"/>
        </w:rPr>
        <w:instrText xml:space="preserve"> HYPERLINK \l _Toc12049 </w:instrText>
      </w:r>
      <w:r>
        <w:rPr>
          <w:rFonts w:hint="default"/>
          <w:lang w:val="en-US" w:eastAsia="zh-CN"/>
        </w:rPr>
        <w:fldChar w:fldCharType="separate"/>
      </w:r>
      <w:r>
        <w:rPr>
          <w:rFonts w:hint="eastAsia"/>
          <w:lang w:val="en-US" w:eastAsia="zh-CN"/>
        </w:rPr>
        <w:t>3.2 购买后界面状态</w:t>
      </w:r>
      <w:r>
        <w:tab/>
      </w:r>
      <w:r>
        <w:fldChar w:fldCharType="begin"/>
      </w:r>
      <w:r>
        <w:instrText xml:space="preserve"> PAGEREF _Toc12049 \h </w:instrText>
      </w:r>
      <w:r>
        <w:fldChar w:fldCharType="separate"/>
      </w:r>
      <w:r>
        <w:t>3</w:t>
      </w:r>
      <w:r>
        <w:fldChar w:fldCharType="end"/>
      </w:r>
      <w:r>
        <w:rPr>
          <w:rFonts w:hint="default"/>
          <w:lang w:val="en-US" w:eastAsia="zh-CN"/>
        </w:rPr>
        <w:fldChar w:fldCharType="end"/>
      </w:r>
    </w:p>
    <w:p w14:paraId="51D3A096">
      <w:pPr>
        <w:pStyle w:val="8"/>
        <w:tabs>
          <w:tab w:val="right" w:leader="dot" w:pos="8306"/>
        </w:tabs>
      </w:pPr>
      <w:r>
        <w:rPr>
          <w:rFonts w:hint="default"/>
          <w:lang w:val="en-US" w:eastAsia="zh-CN"/>
        </w:rPr>
        <w:fldChar w:fldCharType="begin"/>
      </w:r>
      <w:r>
        <w:rPr>
          <w:rFonts w:hint="default"/>
          <w:lang w:val="en-US" w:eastAsia="zh-CN"/>
        </w:rPr>
        <w:instrText xml:space="preserve"> HYPERLINK \l _Toc7728 </w:instrText>
      </w:r>
      <w:r>
        <w:rPr>
          <w:rFonts w:hint="default"/>
          <w:lang w:val="en-US" w:eastAsia="zh-CN"/>
        </w:rPr>
        <w:fldChar w:fldCharType="separate"/>
      </w:r>
      <w:r>
        <w:rPr>
          <w:rFonts w:hint="eastAsia"/>
          <w:lang w:val="en-US" w:eastAsia="zh-CN"/>
        </w:rPr>
        <w:t>3.2.1 特权卡的生效逻辑</w:t>
      </w:r>
      <w:r>
        <w:tab/>
      </w:r>
      <w:r>
        <w:fldChar w:fldCharType="begin"/>
      </w:r>
      <w:r>
        <w:instrText xml:space="preserve"> PAGEREF _Toc7728 \h </w:instrText>
      </w:r>
      <w:r>
        <w:fldChar w:fldCharType="separate"/>
      </w:r>
      <w:r>
        <w:t>4</w:t>
      </w:r>
      <w:r>
        <w:fldChar w:fldCharType="end"/>
      </w:r>
      <w:r>
        <w:rPr>
          <w:rFonts w:hint="default"/>
          <w:lang w:val="en-US" w:eastAsia="zh-CN"/>
        </w:rPr>
        <w:fldChar w:fldCharType="end"/>
      </w:r>
    </w:p>
    <w:p w14:paraId="66A98907">
      <w:pPr>
        <w:pStyle w:val="9"/>
        <w:tabs>
          <w:tab w:val="right" w:leader="dot" w:pos="8306"/>
        </w:tabs>
      </w:pPr>
      <w:r>
        <w:rPr>
          <w:rFonts w:hint="default"/>
          <w:lang w:val="en-US" w:eastAsia="zh-CN"/>
        </w:rPr>
        <w:fldChar w:fldCharType="begin"/>
      </w:r>
      <w:r>
        <w:rPr>
          <w:rFonts w:hint="default"/>
          <w:lang w:val="en-US" w:eastAsia="zh-CN"/>
        </w:rPr>
        <w:instrText xml:space="preserve"> HYPERLINK \l _Toc10898 </w:instrText>
      </w:r>
      <w:r>
        <w:rPr>
          <w:rFonts w:hint="default"/>
          <w:lang w:val="en-US" w:eastAsia="zh-CN"/>
        </w:rPr>
        <w:fldChar w:fldCharType="separate"/>
      </w:r>
      <w:r>
        <w:rPr>
          <w:rFonts w:hint="eastAsia"/>
          <w:lang w:val="en-US" w:eastAsia="zh-CN"/>
        </w:rPr>
        <w:t>四、 流程图</w:t>
      </w:r>
      <w:r>
        <w:tab/>
      </w:r>
      <w:r>
        <w:fldChar w:fldCharType="begin"/>
      </w:r>
      <w:r>
        <w:instrText xml:space="preserve"> PAGEREF _Toc10898 \h </w:instrText>
      </w:r>
      <w:r>
        <w:fldChar w:fldCharType="separate"/>
      </w:r>
      <w:r>
        <w:t>5</w:t>
      </w:r>
      <w:r>
        <w:fldChar w:fldCharType="end"/>
      </w:r>
      <w:r>
        <w:rPr>
          <w:rFonts w:hint="default"/>
          <w:lang w:val="en-US" w:eastAsia="zh-CN"/>
        </w:rPr>
        <w:fldChar w:fldCharType="end"/>
      </w:r>
    </w:p>
    <w:p w14:paraId="5E99AE8E">
      <w:pPr>
        <w:rPr>
          <w:rFonts w:hint="default"/>
          <w:lang w:val="en-US" w:eastAsia="zh-CN"/>
        </w:rPr>
      </w:pPr>
      <w:r>
        <w:rPr>
          <w:rFonts w:hint="default"/>
          <w:lang w:val="en-US" w:eastAsia="zh-CN"/>
        </w:rPr>
        <w:fldChar w:fldCharType="end"/>
      </w:r>
    </w:p>
    <w:p w14:paraId="5B602C1F">
      <w:pPr>
        <w:rPr>
          <w:rFonts w:hint="default"/>
          <w:lang w:val="en-US" w:eastAsia="zh-CN"/>
        </w:rPr>
      </w:pPr>
    </w:p>
    <w:p w14:paraId="42E348BC">
      <w:pPr>
        <w:rPr>
          <w:rFonts w:hint="default"/>
          <w:lang w:val="en-US" w:eastAsia="zh-CN"/>
        </w:rPr>
      </w:pPr>
    </w:p>
    <w:p w14:paraId="442C97CF">
      <w:pPr>
        <w:rPr>
          <w:rFonts w:hint="default"/>
          <w:lang w:val="en-US" w:eastAsia="zh-CN"/>
        </w:rPr>
      </w:pPr>
    </w:p>
    <w:p w14:paraId="4CC4BB30">
      <w:pPr>
        <w:rPr>
          <w:rFonts w:hint="default"/>
          <w:lang w:val="en-US" w:eastAsia="zh-CN"/>
        </w:rPr>
      </w:pPr>
    </w:p>
    <w:p w14:paraId="48C8B129">
      <w:pPr>
        <w:rPr>
          <w:rFonts w:hint="default"/>
          <w:lang w:val="en-US" w:eastAsia="zh-CN"/>
        </w:rPr>
      </w:pPr>
    </w:p>
    <w:p w14:paraId="3D514C26">
      <w:pPr>
        <w:rPr>
          <w:rFonts w:hint="default"/>
          <w:lang w:val="en-US" w:eastAsia="zh-CN"/>
        </w:rPr>
      </w:pPr>
    </w:p>
    <w:p w14:paraId="38B25B83">
      <w:pPr>
        <w:rPr>
          <w:rFonts w:hint="default"/>
          <w:lang w:val="en-US" w:eastAsia="zh-CN"/>
        </w:rPr>
      </w:pPr>
    </w:p>
    <w:p w14:paraId="56F84C28">
      <w:pPr>
        <w:rPr>
          <w:rFonts w:hint="default"/>
          <w:lang w:val="en-US" w:eastAsia="zh-CN"/>
        </w:rPr>
      </w:pPr>
    </w:p>
    <w:p w14:paraId="5BA456CA">
      <w:pPr>
        <w:rPr>
          <w:rFonts w:hint="default"/>
          <w:lang w:val="en-US" w:eastAsia="zh-CN"/>
        </w:rPr>
      </w:pPr>
    </w:p>
    <w:p w14:paraId="09570065">
      <w:pPr>
        <w:rPr>
          <w:rFonts w:hint="default"/>
          <w:lang w:val="en-US" w:eastAsia="zh-CN"/>
        </w:rPr>
      </w:pPr>
    </w:p>
    <w:p w14:paraId="736EACDF">
      <w:pPr>
        <w:rPr>
          <w:rFonts w:hint="default"/>
          <w:lang w:val="en-US" w:eastAsia="zh-CN"/>
        </w:rPr>
      </w:pPr>
    </w:p>
    <w:p w14:paraId="43F29C03">
      <w:pPr>
        <w:rPr>
          <w:rFonts w:hint="default"/>
          <w:lang w:val="en-US" w:eastAsia="zh-CN"/>
        </w:rPr>
      </w:pPr>
    </w:p>
    <w:p w14:paraId="4DD4BADB">
      <w:pPr>
        <w:rPr>
          <w:rFonts w:hint="default"/>
          <w:lang w:val="en-US" w:eastAsia="zh-CN"/>
        </w:rPr>
      </w:pPr>
    </w:p>
    <w:p w14:paraId="4A0989B6">
      <w:pPr>
        <w:rPr>
          <w:rFonts w:hint="default"/>
          <w:lang w:val="en-US" w:eastAsia="zh-CN"/>
        </w:rPr>
      </w:pPr>
    </w:p>
    <w:p w14:paraId="3B39B301">
      <w:pPr>
        <w:rPr>
          <w:rFonts w:hint="default"/>
          <w:lang w:val="en-US" w:eastAsia="zh-CN"/>
        </w:rPr>
      </w:pPr>
    </w:p>
    <w:p w14:paraId="7D86286C">
      <w:pPr>
        <w:rPr>
          <w:rFonts w:hint="default"/>
          <w:lang w:val="en-US" w:eastAsia="zh-CN"/>
        </w:rPr>
      </w:pPr>
    </w:p>
    <w:p w14:paraId="1E2D35D6">
      <w:pPr>
        <w:rPr>
          <w:rFonts w:hint="default"/>
          <w:lang w:val="en-US" w:eastAsia="zh-CN"/>
        </w:rPr>
      </w:pPr>
    </w:p>
    <w:p w14:paraId="79D816F7">
      <w:pPr>
        <w:rPr>
          <w:rFonts w:hint="default"/>
          <w:lang w:val="en-US" w:eastAsia="zh-CN"/>
        </w:rPr>
      </w:pPr>
    </w:p>
    <w:p w14:paraId="0D2190BC">
      <w:pPr>
        <w:rPr>
          <w:rFonts w:hint="default"/>
          <w:lang w:val="en-US" w:eastAsia="zh-CN"/>
        </w:rPr>
      </w:pPr>
    </w:p>
    <w:p w14:paraId="247E0DDD">
      <w:pPr>
        <w:rPr>
          <w:rFonts w:hint="default"/>
          <w:lang w:val="en-US" w:eastAsia="zh-CN"/>
        </w:rPr>
      </w:pPr>
    </w:p>
    <w:p w14:paraId="049ED8AA">
      <w:pPr>
        <w:rPr>
          <w:rFonts w:hint="default"/>
          <w:lang w:val="en-US" w:eastAsia="zh-CN"/>
        </w:rPr>
      </w:pPr>
    </w:p>
    <w:p w14:paraId="0A325FF2">
      <w:pPr>
        <w:rPr>
          <w:rFonts w:hint="default"/>
          <w:lang w:val="en-US" w:eastAsia="zh-CN"/>
        </w:rPr>
      </w:pPr>
    </w:p>
    <w:p w14:paraId="09B77CFA">
      <w:pPr>
        <w:rPr>
          <w:rFonts w:hint="default"/>
          <w:lang w:val="en-US" w:eastAsia="zh-CN"/>
        </w:rPr>
      </w:pPr>
    </w:p>
    <w:p w14:paraId="77D29401">
      <w:pPr>
        <w:rPr>
          <w:rFonts w:hint="default"/>
          <w:lang w:val="en-US" w:eastAsia="zh-CN"/>
        </w:rPr>
      </w:pPr>
    </w:p>
    <w:p w14:paraId="228BF278">
      <w:pPr>
        <w:rPr>
          <w:rFonts w:hint="default"/>
          <w:lang w:val="en-US" w:eastAsia="zh-CN"/>
        </w:rPr>
      </w:pPr>
    </w:p>
    <w:p w14:paraId="39A6D91D">
      <w:pPr>
        <w:rPr>
          <w:rFonts w:hint="default"/>
          <w:lang w:val="en-US" w:eastAsia="zh-CN"/>
        </w:rPr>
      </w:pPr>
    </w:p>
    <w:p w14:paraId="24D17D0D">
      <w:pPr>
        <w:pStyle w:val="3"/>
        <w:numPr>
          <w:ilvl w:val="0"/>
          <w:numId w:val="1"/>
        </w:numPr>
        <w:bidi w:val="0"/>
        <w:rPr>
          <w:rFonts w:hint="default"/>
          <w:lang w:val="en-US" w:eastAsia="zh-CN"/>
        </w:rPr>
      </w:pPr>
      <w:bookmarkStart w:id="1" w:name="_Toc14691"/>
      <w:r>
        <w:rPr>
          <w:rFonts w:hint="eastAsia"/>
          <w:lang w:val="en-US" w:eastAsia="zh-CN"/>
        </w:rPr>
        <w:t>设计目的</w:t>
      </w:r>
      <w:bookmarkEnd w:id="1"/>
    </w:p>
    <w:p w14:paraId="1217F8C6">
      <w:pPr>
        <w:numPr>
          <w:ilvl w:val="0"/>
          <w:numId w:val="2"/>
        </w:numPr>
        <w:ind w:left="425" w:leftChars="0" w:hanging="425" w:firstLineChars="0"/>
        <w:rPr>
          <w:rFonts w:hint="default"/>
          <w:lang w:val="en-US" w:eastAsia="zh-CN"/>
        </w:rPr>
      </w:pPr>
      <w:r>
        <w:rPr>
          <w:rFonts w:hint="eastAsia"/>
          <w:lang w:val="en-US" w:eastAsia="zh-CN"/>
        </w:rPr>
        <w:t>通过周卡、月卡、季卡的形式来促使玩家长期留存。</w:t>
      </w:r>
    </w:p>
    <w:p w14:paraId="16B832D2">
      <w:pPr>
        <w:numPr>
          <w:ilvl w:val="0"/>
          <w:numId w:val="2"/>
        </w:numPr>
        <w:ind w:left="425" w:leftChars="0" w:hanging="425" w:firstLineChars="0"/>
        <w:rPr>
          <w:rFonts w:hint="default"/>
          <w:lang w:val="en-US" w:eastAsia="zh-CN"/>
        </w:rPr>
      </w:pPr>
      <w:r>
        <w:rPr>
          <w:rFonts w:hint="eastAsia"/>
          <w:lang w:val="en-US" w:eastAsia="zh-CN"/>
        </w:rPr>
        <w:t>通过特权卡每日奖励领取和属性投放相结合的方式来推动玩家的每日活跃。</w:t>
      </w:r>
    </w:p>
    <w:p w14:paraId="21994F54">
      <w:pPr>
        <w:pStyle w:val="3"/>
        <w:numPr>
          <w:ilvl w:val="0"/>
          <w:numId w:val="1"/>
        </w:numPr>
        <w:bidi w:val="0"/>
        <w:rPr>
          <w:rFonts w:hint="default"/>
          <w:lang w:val="en-US" w:eastAsia="zh-CN"/>
        </w:rPr>
      </w:pPr>
      <w:bookmarkStart w:id="2" w:name="_Toc16936"/>
      <w:r>
        <w:rPr>
          <w:rFonts w:hint="eastAsia"/>
          <w:lang w:val="en-US" w:eastAsia="zh-CN"/>
        </w:rPr>
        <w:t>系统概述</w:t>
      </w:r>
      <w:bookmarkEnd w:id="2"/>
    </w:p>
    <w:p w14:paraId="2B4FDEB8">
      <w:pPr>
        <w:numPr>
          <w:ilvl w:val="0"/>
          <w:numId w:val="3"/>
        </w:numPr>
        <w:ind w:left="425" w:leftChars="0" w:hanging="425" w:firstLineChars="0"/>
        <w:rPr>
          <w:rFonts w:hint="default"/>
          <w:lang w:val="en-US" w:eastAsia="zh-CN"/>
        </w:rPr>
      </w:pPr>
      <w:r>
        <w:rPr>
          <w:rFonts w:hint="eastAsia"/>
          <w:lang w:val="en-US" w:eastAsia="zh-CN"/>
        </w:rPr>
        <w:t>特权卡包括三种：周卡、月卡、季卡，其中周卡有效期为购买之日起7天，月卡为30天，季卡为90天。</w:t>
      </w:r>
    </w:p>
    <w:p w14:paraId="5C05FEAE">
      <w:pPr>
        <w:numPr>
          <w:ilvl w:val="0"/>
          <w:numId w:val="3"/>
        </w:numPr>
        <w:ind w:left="425" w:leftChars="0" w:hanging="425" w:firstLineChars="0"/>
        <w:rPr>
          <w:rFonts w:hint="default"/>
          <w:lang w:val="en-US" w:eastAsia="zh-CN"/>
        </w:rPr>
      </w:pPr>
      <w:r>
        <w:rPr>
          <w:rFonts w:hint="eastAsia"/>
          <w:lang w:val="en-US" w:eastAsia="zh-CN"/>
        </w:rPr>
        <w:t>特权卡每一个种类在其持续时间内只能购买一次，即不能同一类重复购买时间叠加。</w:t>
      </w:r>
    </w:p>
    <w:p w14:paraId="7B3D74D1">
      <w:pPr>
        <w:numPr>
          <w:ilvl w:val="0"/>
          <w:numId w:val="3"/>
        </w:numPr>
        <w:ind w:left="425" w:leftChars="0" w:hanging="425" w:firstLineChars="0"/>
        <w:rPr>
          <w:rFonts w:hint="default"/>
          <w:lang w:val="en-US" w:eastAsia="zh-CN"/>
        </w:rPr>
      </w:pPr>
      <w:r>
        <w:rPr>
          <w:rFonts w:hint="eastAsia"/>
          <w:lang w:val="en-US" w:eastAsia="zh-CN"/>
        </w:rPr>
        <w:t>特权卡购买之后可以立即获得一定数量的元宝，此外还可以每天领取一次免费的元宝，同时特权卡购买生效之后将会获得一定的战斗特权。</w:t>
      </w:r>
    </w:p>
    <w:p w14:paraId="586420EA">
      <w:pPr>
        <w:numPr>
          <w:ilvl w:val="0"/>
          <w:numId w:val="3"/>
        </w:numPr>
        <w:ind w:left="425" w:leftChars="0" w:hanging="425" w:firstLineChars="0"/>
        <w:rPr>
          <w:rFonts w:hint="default"/>
          <w:lang w:val="en-US" w:eastAsia="zh-CN"/>
        </w:rPr>
      </w:pPr>
      <w:r>
        <w:rPr>
          <w:rFonts w:hint="eastAsia"/>
          <w:lang w:val="en-US" w:eastAsia="zh-CN"/>
        </w:rPr>
        <w:t>特权卡发放的道具奖励均通过邮件附件发放，邮件正文：X卡每日奖励。</w:t>
      </w:r>
    </w:p>
    <w:p w14:paraId="11C67ABE">
      <w:pPr>
        <w:numPr>
          <w:ilvl w:val="0"/>
          <w:numId w:val="3"/>
        </w:numPr>
        <w:ind w:left="425" w:leftChars="0" w:hanging="425" w:firstLineChars="0"/>
        <w:rPr>
          <w:rFonts w:hint="default"/>
          <w:lang w:val="en-US" w:eastAsia="zh-CN"/>
        </w:rPr>
      </w:pPr>
      <w:r>
        <w:rPr>
          <w:rFonts w:hint="eastAsia"/>
          <w:lang w:val="en-US" w:eastAsia="zh-CN"/>
        </w:rPr>
        <w:t>特权卡允许三个种类同时购买，如果同时购</w:t>
      </w:r>
      <w:bookmarkStart w:id="8" w:name="_GoBack"/>
      <w:bookmarkEnd w:id="8"/>
      <w:r>
        <w:rPr>
          <w:rFonts w:hint="eastAsia"/>
          <w:lang w:val="en-US" w:eastAsia="zh-CN"/>
        </w:rPr>
        <w:t>买则三个种类的特权卡每天可领取的奖励独立领取，但三个特权卡中效果重叠的特权以属性最高者为准，不重叠的特权则同时生效。</w:t>
      </w:r>
    </w:p>
    <w:p w14:paraId="434C0819">
      <w:pPr>
        <w:pStyle w:val="3"/>
        <w:numPr>
          <w:ilvl w:val="0"/>
          <w:numId w:val="1"/>
        </w:numPr>
        <w:bidi w:val="0"/>
        <w:rPr>
          <w:rFonts w:hint="default"/>
          <w:lang w:val="en-US" w:eastAsia="zh-CN"/>
        </w:rPr>
      </w:pPr>
      <w:bookmarkStart w:id="3" w:name="_Toc410"/>
      <w:r>
        <w:rPr>
          <w:rFonts w:hint="eastAsia"/>
          <w:lang w:val="en-US" w:eastAsia="zh-CN"/>
        </w:rPr>
        <w:t>实现方式</w:t>
      </w:r>
      <w:bookmarkEnd w:id="3"/>
    </w:p>
    <w:p w14:paraId="20A63531">
      <w:pPr>
        <w:pStyle w:val="4"/>
        <w:bidi w:val="0"/>
        <w:rPr>
          <w:rFonts w:hint="eastAsia"/>
          <w:lang w:val="en-US" w:eastAsia="zh-CN"/>
        </w:rPr>
      </w:pPr>
      <w:bookmarkStart w:id="4" w:name="_Toc20530"/>
      <w:r>
        <w:rPr>
          <w:rFonts w:hint="eastAsia"/>
          <w:lang w:val="en-US" w:eastAsia="zh-CN"/>
        </w:rPr>
        <w:t>3.1 功能界面</w:t>
      </w:r>
      <w:bookmarkEnd w:id="4"/>
    </w:p>
    <w:p w14:paraId="37D6B4E3">
      <w:pPr>
        <w:ind w:firstLine="420" w:firstLineChars="0"/>
        <w:rPr>
          <w:rFonts w:hint="eastAsia"/>
          <w:lang w:val="en-US" w:eastAsia="zh-CN"/>
        </w:rPr>
      </w:pPr>
      <w:r>
        <w:rPr>
          <w:rFonts w:hint="eastAsia"/>
          <w:lang w:val="en-US" w:eastAsia="zh-CN"/>
        </w:rPr>
        <w:t>通过点击主界面功能区上的“特权卡”功能按钮可以打开特权卡功能界面，如下：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722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11834E3">
            <w:pPr>
              <w:numPr>
                <w:numId w:val="0"/>
              </w:numPr>
              <w:ind w:leftChars="0"/>
              <w:rPr>
                <w:rFonts w:hint="default"/>
                <w:vertAlign w:val="baseline"/>
                <w:lang w:val="en-US" w:eastAsia="zh-CN"/>
              </w:rPr>
            </w:pPr>
            <w:r>
              <w:drawing>
                <wp:inline distT="0" distB="0" distL="114300" distR="114300">
                  <wp:extent cx="5267325" cy="2660015"/>
                  <wp:effectExtent l="0" t="0" r="952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2660015"/>
                          </a:xfrm>
                          <a:prstGeom prst="rect">
                            <a:avLst/>
                          </a:prstGeom>
                          <a:noFill/>
                          <a:ln>
                            <a:noFill/>
                          </a:ln>
                        </pic:spPr>
                      </pic:pic>
                    </a:graphicData>
                  </a:graphic>
                </wp:inline>
              </w:drawing>
            </w:r>
          </w:p>
        </w:tc>
      </w:tr>
      <w:tr w14:paraId="6FA2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40C014F">
            <w:pPr>
              <w:numPr>
                <w:numId w:val="0"/>
              </w:numPr>
              <w:ind w:leftChars="0"/>
              <w:rPr>
                <w:rFonts w:hint="eastAsia"/>
                <w:vertAlign w:val="baseline"/>
                <w:lang w:val="en-US" w:eastAsia="zh-CN"/>
              </w:rPr>
            </w:pPr>
            <w:r>
              <w:drawing>
                <wp:inline distT="0" distB="0" distL="114300" distR="114300">
                  <wp:extent cx="5268595" cy="3194050"/>
                  <wp:effectExtent l="0" t="0" r="825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3194050"/>
                          </a:xfrm>
                          <a:prstGeom prst="rect">
                            <a:avLst/>
                          </a:prstGeom>
                          <a:noFill/>
                          <a:ln>
                            <a:noFill/>
                          </a:ln>
                        </pic:spPr>
                      </pic:pic>
                    </a:graphicData>
                  </a:graphic>
                </wp:inline>
              </w:drawing>
            </w:r>
          </w:p>
        </w:tc>
      </w:tr>
      <w:tr w14:paraId="679B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75273FA">
            <w:pPr>
              <w:rPr>
                <w:rFonts w:hint="eastAsia"/>
                <w:vertAlign w:val="baseline"/>
                <w:lang w:val="en-US" w:eastAsia="zh-CN"/>
              </w:rPr>
            </w:pPr>
            <w:r>
              <w:rPr>
                <w:rFonts w:hint="eastAsia"/>
                <w:vertAlign w:val="baseline"/>
                <w:lang w:val="en-US" w:eastAsia="zh-CN"/>
              </w:rPr>
              <w:t>如上图所示，界面显示内容有：</w:t>
            </w:r>
          </w:p>
          <w:p w14:paraId="119BB225">
            <w:pPr>
              <w:rPr>
                <w:rFonts w:hint="eastAsia"/>
                <w:vertAlign w:val="baseline"/>
                <w:lang w:val="en-US" w:eastAsia="zh-CN"/>
              </w:rPr>
            </w:pPr>
          </w:p>
          <w:p w14:paraId="0E7893BD">
            <w:pPr>
              <w:numPr>
                <w:ilvl w:val="0"/>
                <w:numId w:val="4"/>
              </w:numPr>
              <w:ind w:left="425" w:leftChars="0" w:hanging="425" w:firstLineChars="0"/>
              <w:rPr>
                <w:rFonts w:hint="default"/>
                <w:vertAlign w:val="baseline"/>
                <w:lang w:val="en-US" w:eastAsia="zh-CN"/>
              </w:rPr>
            </w:pPr>
            <w:r>
              <w:rPr>
                <w:rFonts w:hint="eastAsia"/>
                <w:vertAlign w:val="baseline"/>
                <w:lang w:val="en-US" w:eastAsia="zh-CN"/>
              </w:rPr>
              <w:t>界面标题：特权卡。点击关闭按钮可以关闭功能界面，点击规则说明按钮可以打开规则说明。</w:t>
            </w:r>
          </w:p>
          <w:p w14:paraId="50BCAA3A">
            <w:pPr>
              <w:numPr>
                <w:ilvl w:val="0"/>
                <w:numId w:val="4"/>
              </w:numPr>
              <w:ind w:left="425" w:leftChars="0" w:hanging="425" w:firstLineChars="0"/>
              <w:rPr>
                <w:rFonts w:hint="default"/>
                <w:vertAlign w:val="baseline"/>
                <w:lang w:val="en-US" w:eastAsia="zh-CN"/>
              </w:rPr>
            </w:pPr>
            <w:r>
              <w:rPr>
                <w:rFonts w:hint="eastAsia"/>
                <w:vertAlign w:val="baseline"/>
                <w:lang w:val="en-US" w:eastAsia="zh-CN"/>
              </w:rPr>
              <w:t>界面从左到右依次显示：超值周卡、超值月卡、超值季卡三个档位的特权卡。</w:t>
            </w:r>
          </w:p>
          <w:p w14:paraId="7EB3D551">
            <w:pPr>
              <w:numPr>
                <w:ilvl w:val="0"/>
                <w:numId w:val="4"/>
              </w:numPr>
              <w:ind w:left="425" w:leftChars="0" w:hanging="425" w:firstLineChars="0"/>
              <w:rPr>
                <w:rFonts w:hint="default"/>
                <w:vertAlign w:val="baseline"/>
                <w:lang w:val="en-US" w:eastAsia="zh-CN"/>
              </w:rPr>
            </w:pPr>
            <w:r>
              <w:rPr>
                <w:rFonts w:hint="eastAsia"/>
                <w:vertAlign w:val="baseline"/>
                <w:lang w:val="en-US" w:eastAsia="zh-CN"/>
              </w:rPr>
              <w:t>每一种特权卡均包括：购买价格按钮（购买之后变为剩余时间），特权时间显示标题，特权描述（支持最多10行）。</w:t>
            </w:r>
          </w:p>
          <w:p w14:paraId="197EF2F5">
            <w:pPr>
              <w:numPr>
                <w:ilvl w:val="0"/>
                <w:numId w:val="4"/>
              </w:numPr>
              <w:ind w:left="425" w:leftChars="0" w:hanging="425" w:firstLineChars="0"/>
              <w:rPr>
                <w:rFonts w:hint="default"/>
                <w:vertAlign w:val="baseline"/>
                <w:lang w:val="en-US" w:eastAsia="zh-CN"/>
              </w:rPr>
            </w:pPr>
            <w:r>
              <w:rPr>
                <w:rFonts w:hint="eastAsia"/>
                <w:vertAlign w:val="baseline"/>
                <w:lang w:val="en-US" w:eastAsia="zh-CN"/>
              </w:rPr>
              <w:t>不同的特权卡购买之后在其有效期未结束的期间，无法再次购买。</w:t>
            </w:r>
          </w:p>
          <w:p w14:paraId="2D37A6FC">
            <w:pPr>
              <w:numPr>
                <w:ilvl w:val="0"/>
                <w:numId w:val="4"/>
              </w:numPr>
              <w:ind w:left="425" w:leftChars="0" w:hanging="425" w:firstLineChars="0"/>
              <w:rPr>
                <w:rFonts w:hint="eastAsia"/>
                <w:vertAlign w:val="baseline"/>
                <w:lang w:val="en-US" w:eastAsia="zh-CN"/>
              </w:rPr>
            </w:pPr>
            <w:r>
              <w:rPr>
                <w:rFonts w:hint="eastAsia"/>
                <w:vertAlign w:val="baseline"/>
                <w:lang w:val="en-US" w:eastAsia="zh-CN"/>
              </w:rPr>
              <w:t>所有的特权卡如果同时购买，则每日可领取的奖励可以依次领取，特权中效果不重复的则独立生效，效果重复的按照最高属性效果的生效。</w:t>
            </w:r>
          </w:p>
          <w:p w14:paraId="5558C73B">
            <w:pPr>
              <w:numPr>
                <w:ilvl w:val="0"/>
                <w:numId w:val="4"/>
              </w:numPr>
              <w:ind w:left="425" w:leftChars="0" w:hanging="425" w:firstLineChars="0"/>
              <w:rPr>
                <w:rFonts w:hint="eastAsia"/>
                <w:vertAlign w:val="baseline"/>
                <w:lang w:val="en-US" w:eastAsia="zh-CN"/>
              </w:rPr>
            </w:pPr>
            <w:r>
              <w:rPr>
                <w:rFonts w:hint="eastAsia"/>
                <w:vertAlign w:val="baseline"/>
                <w:lang w:val="en-US" w:eastAsia="zh-CN"/>
              </w:rPr>
              <w:t>购买特权卡之后立即获得的点券通过系统邮件附件的方式进行发放。</w:t>
            </w:r>
          </w:p>
          <w:p w14:paraId="104F04F0">
            <w:pPr>
              <w:numPr>
                <w:ilvl w:val="0"/>
                <w:numId w:val="4"/>
              </w:numPr>
              <w:ind w:left="425" w:leftChars="0" w:hanging="425" w:firstLineChars="0"/>
              <w:rPr>
                <w:rFonts w:hint="eastAsia"/>
                <w:vertAlign w:val="baseline"/>
                <w:lang w:val="en-US" w:eastAsia="zh-CN"/>
              </w:rPr>
            </w:pPr>
            <w:r>
              <w:rPr>
                <w:rFonts w:hint="eastAsia"/>
                <w:vertAlign w:val="baseline"/>
                <w:lang w:val="en-US" w:eastAsia="zh-CN"/>
              </w:rPr>
              <w:t>规则说明内容{1、周卡、月卡、季卡每一种购买后在其持续时间内无法再次购买；2、三种卡可同时购买，购买后道具奖励可以叠加领取，特权内容则相同种类取最高值，不同种类同时生效；3、特权卡每日奖励将会通过邮件附件发放，注意查收。}</w:t>
            </w:r>
          </w:p>
          <w:p w14:paraId="5E731242">
            <w:pPr>
              <w:numPr>
                <w:ilvl w:val="0"/>
                <w:numId w:val="4"/>
              </w:numPr>
              <w:ind w:left="425" w:leftChars="0" w:hanging="425" w:firstLineChars="0"/>
              <w:rPr>
                <w:rFonts w:hint="eastAsia"/>
                <w:vertAlign w:val="baseline"/>
                <w:lang w:val="en-US" w:eastAsia="zh-CN"/>
              </w:rPr>
            </w:pPr>
            <w:r>
              <w:rPr>
                <w:rFonts w:hint="eastAsia"/>
                <w:vertAlign w:val="baseline"/>
                <w:lang w:val="en-US" w:eastAsia="zh-CN"/>
              </w:rPr>
              <w:t>特权卡在每日的0点要主动进行一次状态刷新，以确定是否过期，如果已经到了期限，则需要在0点重置为可购买状态，同时清除掉特权内容。</w:t>
            </w:r>
          </w:p>
        </w:tc>
      </w:tr>
    </w:tbl>
    <w:p w14:paraId="5BEB5ADB">
      <w:pPr>
        <w:pStyle w:val="4"/>
        <w:bidi w:val="0"/>
        <w:rPr>
          <w:rFonts w:hint="default"/>
          <w:lang w:val="en-US" w:eastAsia="zh-CN"/>
        </w:rPr>
      </w:pPr>
      <w:bookmarkStart w:id="5" w:name="_Toc12049"/>
      <w:r>
        <w:rPr>
          <w:rFonts w:hint="eastAsia"/>
          <w:lang w:val="en-US" w:eastAsia="zh-CN"/>
        </w:rPr>
        <w:t>3.2 购买后界面状态</w:t>
      </w:r>
      <w:bookmarkEnd w:id="5"/>
    </w:p>
    <w:p w14:paraId="0AC07BDF">
      <w:pPr>
        <w:ind w:firstLine="420" w:firstLineChars="0"/>
        <w:rPr>
          <w:rFonts w:hint="eastAsia"/>
          <w:lang w:val="en-US" w:eastAsia="zh-CN"/>
        </w:rPr>
      </w:pPr>
      <w:r>
        <w:rPr>
          <w:rFonts w:hint="eastAsia"/>
          <w:lang w:val="en-US" w:eastAsia="zh-CN"/>
        </w:rPr>
        <w:t>如果特权卡中有已经购买的特权，则界面的显示状态如下定义：</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C6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93E0927">
            <w:pPr>
              <w:numPr>
                <w:numId w:val="0"/>
              </w:numPr>
              <w:ind w:leftChars="0"/>
              <w:rPr>
                <w:rFonts w:hint="default"/>
                <w:vertAlign w:val="baseline"/>
                <w:lang w:val="en-US" w:eastAsia="zh-CN"/>
              </w:rPr>
            </w:pPr>
            <w:r>
              <w:drawing>
                <wp:inline distT="0" distB="0" distL="114300" distR="114300">
                  <wp:extent cx="5268595" cy="3050540"/>
                  <wp:effectExtent l="0" t="0" r="825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3050540"/>
                          </a:xfrm>
                          <a:prstGeom prst="rect">
                            <a:avLst/>
                          </a:prstGeom>
                          <a:noFill/>
                          <a:ln>
                            <a:noFill/>
                          </a:ln>
                        </pic:spPr>
                      </pic:pic>
                    </a:graphicData>
                  </a:graphic>
                </wp:inline>
              </w:drawing>
            </w:r>
          </w:p>
        </w:tc>
      </w:tr>
      <w:tr w14:paraId="0E5C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95F6106">
            <w:pPr>
              <w:rPr>
                <w:rFonts w:hint="eastAsia"/>
                <w:vertAlign w:val="baseline"/>
                <w:lang w:val="en-US" w:eastAsia="zh-CN"/>
              </w:rPr>
            </w:pPr>
            <w:r>
              <w:rPr>
                <w:rFonts w:hint="eastAsia"/>
                <w:vertAlign w:val="baseline"/>
                <w:lang w:val="en-US" w:eastAsia="zh-CN"/>
              </w:rPr>
              <w:t>如上图所示为三个特权档位中前两档已经购买的状态图：</w:t>
            </w:r>
          </w:p>
          <w:p w14:paraId="337F542B">
            <w:pPr>
              <w:rPr>
                <w:rFonts w:hint="eastAsia"/>
                <w:vertAlign w:val="baseline"/>
                <w:lang w:val="en-US" w:eastAsia="zh-CN"/>
              </w:rPr>
            </w:pPr>
          </w:p>
          <w:p w14:paraId="5C869A8F">
            <w:pPr>
              <w:numPr>
                <w:ilvl w:val="0"/>
                <w:numId w:val="5"/>
              </w:numPr>
              <w:ind w:left="425" w:leftChars="0" w:hanging="425" w:firstLineChars="0"/>
              <w:rPr>
                <w:rFonts w:hint="eastAsia"/>
                <w:vertAlign w:val="baseline"/>
                <w:lang w:val="en-US" w:eastAsia="zh-CN"/>
              </w:rPr>
            </w:pPr>
            <w:r>
              <w:rPr>
                <w:rFonts w:hint="eastAsia"/>
                <w:vertAlign w:val="baseline"/>
                <w:lang w:val="en-US" w:eastAsia="zh-CN"/>
              </w:rPr>
              <w:t>如果特权已经购买，则需要显示当前档位的特权还剩余多少天，不同的档位剩余天数从购买之日起独立计算。</w:t>
            </w:r>
          </w:p>
          <w:p w14:paraId="7C0C032C">
            <w:pPr>
              <w:numPr>
                <w:ilvl w:val="0"/>
                <w:numId w:val="5"/>
              </w:numPr>
              <w:ind w:left="425" w:leftChars="0" w:hanging="425" w:firstLineChars="0"/>
              <w:rPr>
                <w:rFonts w:hint="eastAsia"/>
                <w:vertAlign w:val="baseline"/>
                <w:lang w:val="en-US" w:eastAsia="zh-CN"/>
              </w:rPr>
            </w:pPr>
            <w:r>
              <w:rPr>
                <w:rFonts w:hint="eastAsia"/>
                <w:vertAlign w:val="baseline"/>
                <w:lang w:val="en-US" w:eastAsia="zh-CN"/>
              </w:rPr>
              <w:t>特权卡的有效期以每日的0点作为结算计时点，生效时间则从购买之日开始计算。</w:t>
            </w:r>
          </w:p>
        </w:tc>
      </w:tr>
    </w:tbl>
    <w:p w14:paraId="683B2029">
      <w:pPr>
        <w:pStyle w:val="5"/>
        <w:bidi w:val="0"/>
        <w:rPr>
          <w:rFonts w:hint="eastAsia"/>
          <w:lang w:val="en-US" w:eastAsia="zh-CN"/>
        </w:rPr>
      </w:pPr>
      <w:bookmarkStart w:id="6" w:name="_Toc7728"/>
      <w:r>
        <w:rPr>
          <w:rFonts w:hint="eastAsia"/>
          <w:lang w:val="en-US" w:eastAsia="zh-CN"/>
        </w:rPr>
        <w:t>3.2.1 特权卡的生效逻辑</w:t>
      </w:r>
      <w:bookmarkEnd w:id="6"/>
    </w:p>
    <w:p w14:paraId="0738295D">
      <w:pPr>
        <w:numPr>
          <w:ilvl w:val="0"/>
          <w:numId w:val="6"/>
        </w:numPr>
        <w:ind w:left="425" w:leftChars="0" w:hanging="425" w:firstLineChars="0"/>
        <w:rPr>
          <w:rFonts w:hint="default"/>
          <w:lang w:val="en-US" w:eastAsia="zh-CN"/>
        </w:rPr>
      </w:pPr>
      <w:r>
        <w:rPr>
          <w:rFonts w:hint="eastAsia"/>
          <w:lang w:val="en-US" w:eastAsia="zh-CN"/>
        </w:rPr>
        <w:t>不同档位的特权卡可以分别购买，不存在买了其中一个不能买另外的情况。</w:t>
      </w:r>
    </w:p>
    <w:p w14:paraId="468C6A9D">
      <w:pPr>
        <w:numPr>
          <w:ilvl w:val="0"/>
          <w:numId w:val="6"/>
        </w:numPr>
        <w:ind w:left="425" w:leftChars="0" w:hanging="425" w:firstLineChars="0"/>
        <w:rPr>
          <w:rFonts w:hint="default"/>
          <w:lang w:val="en-US" w:eastAsia="zh-CN"/>
        </w:rPr>
      </w:pPr>
      <w:r>
        <w:rPr>
          <w:rFonts w:hint="eastAsia"/>
          <w:lang w:val="en-US" w:eastAsia="zh-CN"/>
        </w:rPr>
        <w:t>相同档位的特权卡在其有效的时间期间只能购买一次。</w:t>
      </w:r>
    </w:p>
    <w:p w14:paraId="74DFEB22">
      <w:pPr>
        <w:numPr>
          <w:ilvl w:val="0"/>
          <w:numId w:val="6"/>
        </w:numPr>
        <w:ind w:left="425" w:leftChars="0" w:hanging="425" w:firstLineChars="0"/>
        <w:rPr>
          <w:rFonts w:hint="default"/>
          <w:lang w:val="en-US" w:eastAsia="zh-CN"/>
        </w:rPr>
      </w:pPr>
      <w:r>
        <w:rPr>
          <w:rFonts w:hint="eastAsia"/>
          <w:lang w:val="en-US" w:eastAsia="zh-CN"/>
        </w:rPr>
        <w:t>如果不同档位的特权卡同时生效，则其剩余时间独立计算，每日可领取的奖励也可以同时邮件领取，但特权中，效果相同的特权需要按照数值效果最高的来生效。</w:t>
      </w:r>
    </w:p>
    <w:p w14:paraId="31CB8491">
      <w:pPr>
        <w:numPr>
          <w:ilvl w:val="0"/>
          <w:numId w:val="6"/>
        </w:numPr>
        <w:ind w:left="425" w:leftChars="0" w:hanging="425" w:firstLineChars="0"/>
        <w:rPr>
          <w:rFonts w:hint="default"/>
          <w:lang w:val="en-US" w:eastAsia="zh-CN"/>
        </w:rPr>
      </w:pPr>
      <w:r>
        <w:rPr>
          <w:rFonts w:hint="eastAsia"/>
          <w:lang w:val="en-US" w:eastAsia="zh-CN"/>
        </w:rPr>
        <w:t>特权卡购买成功之后的一次性奖励发放通过系统邮件附件的形式进行发放。</w:t>
      </w:r>
    </w:p>
    <w:p w14:paraId="1B69B488">
      <w:pPr>
        <w:pStyle w:val="3"/>
        <w:numPr>
          <w:ilvl w:val="0"/>
          <w:numId w:val="1"/>
        </w:numPr>
        <w:bidi w:val="0"/>
        <w:rPr>
          <w:rFonts w:hint="default"/>
          <w:lang w:val="en-US" w:eastAsia="zh-CN"/>
        </w:rPr>
      </w:pPr>
      <w:bookmarkStart w:id="7" w:name="_Toc10898"/>
      <w:r>
        <w:rPr>
          <w:rFonts w:hint="eastAsia"/>
          <w:lang w:val="en-US" w:eastAsia="zh-CN"/>
        </w:rPr>
        <w:t>流程图</w:t>
      </w:r>
      <w:bookmarkEnd w:id="7"/>
    </w:p>
    <w:p w14:paraId="6FF05E4C">
      <w:pPr>
        <w:jc w:val="center"/>
        <w:rPr>
          <w:rFonts w:hint="default"/>
          <w:lang w:val="en-US" w:eastAsia="zh-CN"/>
        </w:rPr>
      </w:pPr>
      <w:r>
        <w:drawing>
          <wp:inline distT="0" distB="0" distL="114300" distR="114300">
            <wp:extent cx="5271135" cy="4377055"/>
            <wp:effectExtent l="0" t="0" r="571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71135" cy="43770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190437"/>
    <w:multiLevelType w:val="singleLevel"/>
    <w:tmpl w:val="0D190437"/>
    <w:lvl w:ilvl="0" w:tentative="0">
      <w:start w:val="1"/>
      <w:numFmt w:val="decimal"/>
      <w:lvlText w:val="%1."/>
      <w:lvlJc w:val="left"/>
      <w:pPr>
        <w:ind w:left="425" w:hanging="425"/>
      </w:pPr>
      <w:rPr>
        <w:rFonts w:hint="default"/>
      </w:rPr>
    </w:lvl>
  </w:abstractNum>
  <w:abstractNum w:abstractNumId="1">
    <w:nsid w:val="1C6BC20C"/>
    <w:multiLevelType w:val="singleLevel"/>
    <w:tmpl w:val="1C6BC20C"/>
    <w:lvl w:ilvl="0" w:tentative="0">
      <w:start w:val="1"/>
      <w:numFmt w:val="decimal"/>
      <w:lvlText w:val="%1."/>
      <w:lvlJc w:val="left"/>
      <w:pPr>
        <w:ind w:left="425" w:hanging="425"/>
      </w:pPr>
      <w:rPr>
        <w:rFonts w:hint="default"/>
      </w:rPr>
    </w:lvl>
  </w:abstractNum>
  <w:abstractNum w:abstractNumId="2">
    <w:nsid w:val="1EFBC313"/>
    <w:multiLevelType w:val="singleLevel"/>
    <w:tmpl w:val="1EFBC313"/>
    <w:lvl w:ilvl="0" w:tentative="0">
      <w:start w:val="1"/>
      <w:numFmt w:val="decimal"/>
      <w:lvlText w:val="%1."/>
      <w:lvlJc w:val="left"/>
      <w:pPr>
        <w:ind w:left="425" w:hanging="425"/>
      </w:pPr>
      <w:rPr>
        <w:rFonts w:hint="default"/>
      </w:rPr>
    </w:lvl>
  </w:abstractNum>
  <w:abstractNum w:abstractNumId="3">
    <w:nsid w:val="49CD7C7A"/>
    <w:multiLevelType w:val="singleLevel"/>
    <w:tmpl w:val="49CD7C7A"/>
    <w:lvl w:ilvl="0" w:tentative="0">
      <w:start w:val="1"/>
      <w:numFmt w:val="decimal"/>
      <w:lvlText w:val="%1."/>
      <w:lvlJc w:val="left"/>
      <w:pPr>
        <w:ind w:left="425" w:hanging="425"/>
      </w:pPr>
      <w:rPr>
        <w:rFonts w:hint="default"/>
      </w:rPr>
    </w:lvl>
  </w:abstractNum>
  <w:abstractNum w:abstractNumId="4">
    <w:nsid w:val="6D37722A"/>
    <w:multiLevelType w:val="singleLevel"/>
    <w:tmpl w:val="6D37722A"/>
    <w:lvl w:ilvl="0" w:tentative="0">
      <w:start w:val="1"/>
      <w:numFmt w:val="chineseCounting"/>
      <w:suff w:val="nothing"/>
      <w:lvlText w:val="%1、"/>
      <w:lvlJc w:val="left"/>
      <w:pPr>
        <w:ind w:left="0" w:firstLine="420"/>
      </w:pPr>
      <w:rPr>
        <w:rFonts w:hint="eastAsia"/>
      </w:rPr>
    </w:lvl>
  </w:abstractNum>
  <w:abstractNum w:abstractNumId="5">
    <w:nsid w:val="757C30AA"/>
    <w:multiLevelType w:val="singleLevel"/>
    <w:tmpl w:val="757C30AA"/>
    <w:lvl w:ilvl="0" w:tentative="0">
      <w:start w:val="1"/>
      <w:numFmt w:val="decimal"/>
      <w:lvlText w:val="%1."/>
      <w:lvlJc w:val="left"/>
      <w:pPr>
        <w:ind w:left="425" w:hanging="425"/>
      </w:pPr>
      <w:rPr>
        <w:rFonts w:hint="default"/>
      </w:rPr>
    </w:lvl>
  </w:abstractNum>
  <w:num w:numId="1">
    <w:abstractNumId w:val="4"/>
  </w:num>
  <w:num w:numId="2">
    <w:abstractNumId w:val="1"/>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OTgxYTc4MmViZDhjZTNkMjQ3MTQzM2MwOTdjYjQifQ=="/>
  </w:docVars>
  <w:rsids>
    <w:rsidRoot w:val="00000000"/>
    <w:rsid w:val="02174F58"/>
    <w:rsid w:val="05E25CD6"/>
    <w:rsid w:val="0630278C"/>
    <w:rsid w:val="063470C2"/>
    <w:rsid w:val="06CF55DD"/>
    <w:rsid w:val="0872215D"/>
    <w:rsid w:val="08F55D20"/>
    <w:rsid w:val="0B350D08"/>
    <w:rsid w:val="0C4117F4"/>
    <w:rsid w:val="10C600AB"/>
    <w:rsid w:val="16EB3C70"/>
    <w:rsid w:val="1B83540D"/>
    <w:rsid w:val="1BF754B3"/>
    <w:rsid w:val="22D95913"/>
    <w:rsid w:val="265C6F87"/>
    <w:rsid w:val="32F72511"/>
    <w:rsid w:val="3B8A1031"/>
    <w:rsid w:val="3F5D194E"/>
    <w:rsid w:val="479F625D"/>
    <w:rsid w:val="580764A3"/>
    <w:rsid w:val="58BC4554"/>
    <w:rsid w:val="5C82245E"/>
    <w:rsid w:val="5EA7453C"/>
    <w:rsid w:val="66615178"/>
    <w:rsid w:val="66ED0F5A"/>
    <w:rsid w:val="6C132D09"/>
    <w:rsid w:val="6CB322FE"/>
    <w:rsid w:val="6D936284"/>
    <w:rsid w:val="729B0291"/>
    <w:rsid w:val="733D03DA"/>
    <w:rsid w:val="77C667FC"/>
    <w:rsid w:val="78191BAF"/>
    <w:rsid w:val="79CD2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0"/>
  </w:style>
  <w:style w:type="paragraph" w:styleId="8">
    <w:name w:val="toc 4"/>
    <w:basedOn w:val="1"/>
    <w:next w:val="1"/>
    <w:qFormat/>
    <w:uiPriority w:val="0"/>
    <w:pPr>
      <w:ind w:left="1260" w:leftChars="600"/>
    </w:pPr>
  </w:style>
  <w:style w:type="paragraph" w:styleId="9">
    <w:name w:val="toc 2"/>
    <w:basedOn w:val="1"/>
    <w:next w:val="1"/>
    <w:qFormat/>
    <w:uiPriority w:val="0"/>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1139</Words>
  <Characters>1167</Characters>
  <Lines>0</Lines>
  <Paragraphs>0</Paragraphs>
  <TotalTime>0</TotalTime>
  <ScaleCrop>false</ScaleCrop>
  <LinksUpToDate>false</LinksUpToDate>
  <CharactersWithSpaces>1185</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2024-04-16T01:56:00Z</dcterms:created>
  <dc:creator>46646</dc:creator>
  <cp:lastModifiedBy>企业用户_255442825</cp:lastModifiedBy>
  <dcterms:modified xsi:type="dcterms:W3CDTF">2025-08-13T01:57:23Z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C724028C9D044EE3925D7EA974C5A558_12</vt:lpwstr>
  </property>
  <property fmtid="{D5CDD505-2E9C-101B-9397-08002B2CF9AE}" pid="4" name="KSOTemplateDocerSaveRecord">
    <vt:lpwstr>eyJoZGlkIjoiMjMzZThlYjEzMzllNDdhMmQ0NDI1ZTBlOTA1Mzk3NjMiLCJ1c2VySWQiOiIxNTI3OTQyMzU2In0=</vt:lpwstr>
  </property>
</Properties>
</file>