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47952E">
      <w:pPr>
        <w:pStyle w:val="2"/>
        <w:bidi w:val="0"/>
        <w:jc w:val="center"/>
        <w:rPr>
          <w:rFonts w:hint="eastAsia"/>
          <w:lang w:val="en-US" w:eastAsia="zh-CN"/>
        </w:rPr>
      </w:pPr>
      <w:bookmarkStart w:id="0" w:name="_Toc5273"/>
      <w:r>
        <w:rPr>
          <w:rFonts w:hint="eastAsia"/>
          <w:lang w:val="en-US" w:eastAsia="zh-CN"/>
        </w:rPr>
        <w:t>装备养成模块定义</w:t>
      </w:r>
      <w:bookmarkEnd w:id="0"/>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0"/>
        <w:gridCol w:w="1230"/>
        <w:gridCol w:w="5801"/>
        <w:gridCol w:w="731"/>
      </w:tblGrid>
      <w:tr w14:paraId="7C1D5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1" w:type="dxa"/>
            <w:tcBorders>
              <w:top w:val="single" w:color="4874CB" w:sz="12" w:space="0"/>
              <w:left w:val="nil"/>
              <w:bottom w:val="single" w:color="4874CB" w:sz="4" w:space="0"/>
              <w:right w:val="nil"/>
              <w:tl2br w:val="nil"/>
            </w:tcBorders>
            <w:shd w:val="clear" w:color="auto" w:fill="FFFFFF"/>
          </w:tcPr>
          <w:p w14:paraId="2C8ABF5A">
            <w:pPr>
              <w:rPr>
                <w:rFonts w:hint="default"/>
                <w:b w:val="0"/>
                <w:color w:val="000000"/>
                <w:vertAlign w:val="baseline"/>
                <w:lang w:val="en-US" w:eastAsia="zh-CN"/>
              </w:rPr>
            </w:pPr>
            <w:r>
              <w:rPr>
                <w:rFonts w:hint="eastAsia"/>
                <w:b w:val="0"/>
                <w:color w:val="000000"/>
                <w:vertAlign w:val="baseline"/>
                <w:lang w:val="en-US" w:eastAsia="zh-CN"/>
              </w:rPr>
              <w:t>编号</w:t>
            </w:r>
          </w:p>
        </w:tc>
        <w:tc>
          <w:tcPr>
            <w:tcW w:w="1220" w:type="dxa"/>
            <w:tcBorders>
              <w:top w:val="single" w:color="4874CB" w:sz="12" w:space="0"/>
              <w:left w:val="nil"/>
              <w:bottom w:val="single" w:color="4874CB" w:sz="4" w:space="0"/>
              <w:right w:val="nil"/>
            </w:tcBorders>
            <w:shd w:val="clear" w:color="auto" w:fill="FFFFFF"/>
          </w:tcPr>
          <w:p w14:paraId="660E0C62">
            <w:pPr>
              <w:rPr>
                <w:rFonts w:hint="default"/>
                <w:b w:val="0"/>
                <w:color w:val="000000"/>
                <w:vertAlign w:val="baseline"/>
                <w:lang w:val="en-US" w:eastAsia="zh-CN"/>
              </w:rPr>
            </w:pPr>
            <w:r>
              <w:rPr>
                <w:rFonts w:hint="eastAsia"/>
                <w:b w:val="0"/>
                <w:color w:val="000000"/>
                <w:vertAlign w:val="baseline"/>
                <w:lang w:val="en-US" w:eastAsia="zh-CN"/>
              </w:rPr>
              <w:t>日期</w:t>
            </w:r>
          </w:p>
        </w:tc>
        <w:tc>
          <w:tcPr>
            <w:tcW w:w="5810" w:type="dxa"/>
            <w:tcBorders>
              <w:top w:val="single" w:color="4874CB" w:sz="12" w:space="0"/>
              <w:left w:val="nil"/>
              <w:bottom w:val="single" w:color="4874CB" w:sz="4" w:space="0"/>
              <w:right w:val="nil"/>
            </w:tcBorders>
            <w:shd w:val="clear" w:color="auto" w:fill="FFFFFF"/>
          </w:tcPr>
          <w:p w14:paraId="4EF3A878">
            <w:pPr>
              <w:rPr>
                <w:rFonts w:hint="default"/>
                <w:b w:val="0"/>
                <w:color w:val="000000"/>
                <w:vertAlign w:val="baseline"/>
                <w:lang w:val="en-US" w:eastAsia="zh-CN"/>
              </w:rPr>
            </w:pPr>
            <w:r>
              <w:rPr>
                <w:rFonts w:hint="eastAsia"/>
                <w:b w:val="0"/>
                <w:color w:val="000000"/>
                <w:vertAlign w:val="baseline"/>
                <w:lang w:val="en-US" w:eastAsia="zh-CN"/>
              </w:rPr>
              <w:t>内容</w:t>
            </w:r>
          </w:p>
        </w:tc>
        <w:tc>
          <w:tcPr>
            <w:tcW w:w="731" w:type="dxa"/>
            <w:tcBorders>
              <w:top w:val="single" w:color="4874CB" w:sz="12" w:space="0"/>
              <w:left w:val="nil"/>
              <w:bottom w:val="single" w:color="4874CB" w:sz="4" w:space="0"/>
              <w:right w:val="nil"/>
            </w:tcBorders>
            <w:shd w:val="clear" w:color="auto" w:fill="FFFFFF"/>
          </w:tcPr>
          <w:p w14:paraId="355E0157">
            <w:pPr>
              <w:rPr>
                <w:rFonts w:hint="default"/>
                <w:b w:val="0"/>
                <w:color w:val="000000"/>
                <w:vertAlign w:val="baseline"/>
                <w:lang w:val="en-US" w:eastAsia="zh-CN"/>
              </w:rPr>
            </w:pPr>
            <w:r>
              <w:rPr>
                <w:rFonts w:hint="eastAsia"/>
                <w:b w:val="0"/>
                <w:color w:val="000000"/>
                <w:vertAlign w:val="baseline"/>
                <w:lang w:val="en-US" w:eastAsia="zh-CN"/>
              </w:rPr>
              <w:t>作者</w:t>
            </w:r>
          </w:p>
        </w:tc>
      </w:tr>
      <w:tr w14:paraId="0052A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1" w:type="dxa"/>
            <w:tcBorders>
              <w:top w:val="single" w:color="4874CB" w:sz="4" w:space="0"/>
              <w:left w:val="nil"/>
              <w:bottom w:val="nil"/>
              <w:right w:val="nil"/>
            </w:tcBorders>
            <w:shd w:val="clear" w:color="auto" w:fill="FFFFFF"/>
          </w:tcPr>
          <w:p w14:paraId="1F12D1F3">
            <w:pPr>
              <w:rPr>
                <w:rFonts w:hint="default"/>
                <w:b w:val="0"/>
                <w:color w:val="000000"/>
                <w:vertAlign w:val="baseline"/>
                <w:lang w:val="en-US" w:eastAsia="zh-CN"/>
              </w:rPr>
            </w:pPr>
            <w:r>
              <w:rPr>
                <w:rFonts w:hint="eastAsia"/>
                <w:b w:val="0"/>
                <w:color w:val="000000"/>
                <w:vertAlign w:val="baseline"/>
                <w:lang w:val="en-US" w:eastAsia="zh-CN"/>
              </w:rPr>
              <w:t>1.0</w:t>
            </w:r>
          </w:p>
        </w:tc>
        <w:tc>
          <w:tcPr>
            <w:tcW w:w="1220" w:type="dxa"/>
            <w:tcBorders>
              <w:top w:val="single" w:color="4874CB" w:sz="4" w:space="0"/>
              <w:left w:val="nil"/>
              <w:bottom w:val="nil"/>
              <w:right w:val="nil"/>
            </w:tcBorders>
            <w:shd w:val="clear" w:color="auto" w:fill="FFFFFF"/>
          </w:tcPr>
          <w:p w14:paraId="6DA7FEAB">
            <w:pPr>
              <w:rPr>
                <w:rFonts w:hint="default"/>
                <w:b w:val="0"/>
                <w:color w:val="000000"/>
                <w:vertAlign w:val="baseline"/>
                <w:lang w:val="en-US" w:eastAsia="zh-CN"/>
              </w:rPr>
            </w:pPr>
            <w:r>
              <w:rPr>
                <w:rFonts w:hint="eastAsia"/>
                <w:b w:val="0"/>
                <w:color w:val="000000"/>
                <w:vertAlign w:val="baseline"/>
                <w:lang w:val="en-US" w:eastAsia="zh-CN"/>
              </w:rPr>
              <w:t>2024/10/29</w:t>
            </w:r>
          </w:p>
        </w:tc>
        <w:tc>
          <w:tcPr>
            <w:tcW w:w="5810" w:type="dxa"/>
            <w:tcBorders>
              <w:top w:val="single" w:color="4874CB" w:sz="4" w:space="0"/>
              <w:left w:val="nil"/>
              <w:bottom w:val="nil"/>
              <w:right w:val="nil"/>
            </w:tcBorders>
            <w:shd w:val="clear" w:color="auto" w:fill="FFFFFF"/>
          </w:tcPr>
          <w:p w14:paraId="7FA4CCCD">
            <w:pPr>
              <w:rPr>
                <w:rFonts w:hint="default"/>
                <w:b w:val="0"/>
                <w:color w:val="000000"/>
                <w:vertAlign w:val="baseline"/>
                <w:lang w:val="en-US" w:eastAsia="zh-CN"/>
              </w:rPr>
            </w:pPr>
            <w:r>
              <w:rPr>
                <w:rFonts w:hint="eastAsia"/>
                <w:b w:val="0"/>
                <w:color w:val="000000"/>
                <w:vertAlign w:val="baseline"/>
                <w:lang w:val="en-US" w:eastAsia="zh-CN"/>
              </w:rPr>
              <w:t>对装备的强化、升星、洗炼、祝福等养成模块进行定义</w:t>
            </w:r>
          </w:p>
        </w:tc>
        <w:tc>
          <w:tcPr>
            <w:tcW w:w="731" w:type="dxa"/>
            <w:tcBorders>
              <w:top w:val="single" w:color="4874CB" w:sz="4" w:space="0"/>
              <w:left w:val="nil"/>
              <w:bottom w:val="nil"/>
              <w:right w:val="nil"/>
            </w:tcBorders>
            <w:shd w:val="clear" w:color="auto" w:fill="FFFFFF"/>
          </w:tcPr>
          <w:p w14:paraId="00871A69">
            <w:pPr>
              <w:rPr>
                <w:rFonts w:hint="default"/>
                <w:b w:val="0"/>
                <w:color w:val="000000"/>
                <w:vertAlign w:val="baseline"/>
                <w:lang w:val="en-US" w:eastAsia="zh-CN"/>
              </w:rPr>
            </w:pPr>
            <w:r>
              <w:rPr>
                <w:rFonts w:hint="eastAsia"/>
                <w:b w:val="0"/>
                <w:color w:val="000000"/>
                <w:vertAlign w:val="baseline"/>
                <w:lang w:val="en-US" w:eastAsia="zh-CN"/>
              </w:rPr>
              <w:t>MC</w:t>
            </w:r>
          </w:p>
        </w:tc>
      </w:tr>
      <w:tr w14:paraId="7E02E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1" w:type="dxa"/>
            <w:tcBorders>
              <w:top w:val="nil"/>
              <w:left w:val="nil"/>
              <w:bottom w:val="nil"/>
              <w:right w:val="nil"/>
            </w:tcBorders>
            <w:shd w:val="clear" w:color="auto" w:fill="FFFFFF"/>
          </w:tcPr>
          <w:p w14:paraId="6C7D5185">
            <w:pPr>
              <w:rPr>
                <w:rFonts w:hint="default"/>
                <w:b w:val="0"/>
                <w:color w:val="000000"/>
                <w:vertAlign w:val="baseline"/>
                <w:lang w:val="en-US" w:eastAsia="zh-CN"/>
              </w:rPr>
            </w:pPr>
          </w:p>
        </w:tc>
        <w:tc>
          <w:tcPr>
            <w:tcW w:w="1220" w:type="dxa"/>
            <w:tcBorders>
              <w:top w:val="nil"/>
              <w:left w:val="nil"/>
              <w:bottom w:val="nil"/>
              <w:right w:val="nil"/>
            </w:tcBorders>
            <w:shd w:val="clear" w:color="auto" w:fill="FFFFFF"/>
          </w:tcPr>
          <w:p w14:paraId="4AF6223A">
            <w:pPr>
              <w:rPr>
                <w:rFonts w:hint="default"/>
                <w:b w:val="0"/>
                <w:color w:val="000000"/>
                <w:vertAlign w:val="baseline"/>
                <w:lang w:val="en-US" w:eastAsia="zh-CN"/>
              </w:rPr>
            </w:pPr>
          </w:p>
        </w:tc>
        <w:tc>
          <w:tcPr>
            <w:tcW w:w="5810" w:type="dxa"/>
            <w:tcBorders>
              <w:top w:val="nil"/>
              <w:left w:val="nil"/>
              <w:bottom w:val="nil"/>
              <w:right w:val="nil"/>
            </w:tcBorders>
            <w:shd w:val="clear" w:color="auto" w:fill="FFFFFF"/>
          </w:tcPr>
          <w:p w14:paraId="3D592676">
            <w:pPr>
              <w:rPr>
                <w:rFonts w:hint="default"/>
                <w:b w:val="0"/>
                <w:color w:val="000000"/>
                <w:vertAlign w:val="baseline"/>
                <w:lang w:val="en-US" w:eastAsia="zh-CN"/>
              </w:rPr>
            </w:pPr>
          </w:p>
        </w:tc>
        <w:tc>
          <w:tcPr>
            <w:tcW w:w="731" w:type="dxa"/>
            <w:tcBorders>
              <w:top w:val="nil"/>
              <w:left w:val="nil"/>
              <w:bottom w:val="nil"/>
              <w:right w:val="nil"/>
            </w:tcBorders>
            <w:shd w:val="clear" w:color="auto" w:fill="FFFFFF"/>
          </w:tcPr>
          <w:p w14:paraId="1AC14E37">
            <w:pPr>
              <w:rPr>
                <w:rFonts w:hint="default"/>
                <w:b w:val="0"/>
                <w:color w:val="000000"/>
                <w:vertAlign w:val="baseline"/>
                <w:lang w:val="en-US" w:eastAsia="zh-CN"/>
              </w:rPr>
            </w:pPr>
          </w:p>
        </w:tc>
      </w:tr>
      <w:tr w14:paraId="2FEAC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1" w:type="dxa"/>
            <w:tcBorders>
              <w:top w:val="nil"/>
              <w:left w:val="nil"/>
              <w:bottom w:val="nil"/>
              <w:right w:val="nil"/>
            </w:tcBorders>
            <w:shd w:val="clear" w:color="auto" w:fill="FFFFFF"/>
          </w:tcPr>
          <w:p w14:paraId="4CEB1DE6">
            <w:pPr>
              <w:rPr>
                <w:rFonts w:hint="default"/>
                <w:b w:val="0"/>
                <w:color w:val="000000"/>
                <w:vertAlign w:val="baseline"/>
                <w:lang w:val="en-US" w:eastAsia="zh-CN"/>
              </w:rPr>
            </w:pPr>
          </w:p>
        </w:tc>
        <w:tc>
          <w:tcPr>
            <w:tcW w:w="1220" w:type="dxa"/>
            <w:tcBorders>
              <w:top w:val="nil"/>
              <w:left w:val="nil"/>
              <w:bottom w:val="nil"/>
              <w:right w:val="nil"/>
            </w:tcBorders>
            <w:shd w:val="clear" w:color="auto" w:fill="FFFFFF"/>
          </w:tcPr>
          <w:p w14:paraId="5BD91C69">
            <w:pPr>
              <w:rPr>
                <w:rFonts w:hint="default"/>
                <w:b w:val="0"/>
                <w:color w:val="000000"/>
                <w:vertAlign w:val="baseline"/>
                <w:lang w:val="en-US" w:eastAsia="zh-CN"/>
              </w:rPr>
            </w:pPr>
          </w:p>
        </w:tc>
        <w:tc>
          <w:tcPr>
            <w:tcW w:w="5810" w:type="dxa"/>
            <w:tcBorders>
              <w:top w:val="nil"/>
              <w:left w:val="nil"/>
              <w:bottom w:val="nil"/>
              <w:right w:val="nil"/>
            </w:tcBorders>
            <w:shd w:val="clear" w:color="auto" w:fill="FFFFFF"/>
          </w:tcPr>
          <w:p w14:paraId="7B815D22">
            <w:pPr>
              <w:rPr>
                <w:rFonts w:hint="default"/>
                <w:b w:val="0"/>
                <w:color w:val="000000"/>
                <w:vertAlign w:val="baseline"/>
                <w:lang w:val="en-US" w:eastAsia="zh-CN"/>
              </w:rPr>
            </w:pPr>
          </w:p>
        </w:tc>
        <w:tc>
          <w:tcPr>
            <w:tcW w:w="731" w:type="dxa"/>
            <w:tcBorders>
              <w:top w:val="nil"/>
              <w:left w:val="nil"/>
              <w:bottom w:val="nil"/>
              <w:right w:val="nil"/>
            </w:tcBorders>
            <w:shd w:val="clear" w:color="auto" w:fill="FFFFFF"/>
          </w:tcPr>
          <w:p w14:paraId="7A1EDCBB">
            <w:pPr>
              <w:rPr>
                <w:rFonts w:hint="default"/>
                <w:b w:val="0"/>
                <w:color w:val="000000"/>
                <w:vertAlign w:val="baseline"/>
                <w:lang w:val="en-US" w:eastAsia="zh-CN"/>
              </w:rPr>
            </w:pPr>
          </w:p>
        </w:tc>
      </w:tr>
      <w:tr w14:paraId="4E1CF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1" w:type="dxa"/>
            <w:tcBorders>
              <w:top w:val="nil"/>
              <w:left w:val="nil"/>
              <w:bottom w:val="single" w:color="4874CB" w:sz="12" w:space="0"/>
              <w:right w:val="nil"/>
            </w:tcBorders>
            <w:shd w:val="clear" w:color="auto" w:fill="FFFFFF"/>
          </w:tcPr>
          <w:p w14:paraId="1E448186">
            <w:pPr>
              <w:rPr>
                <w:rFonts w:hint="default"/>
                <w:b w:val="0"/>
                <w:color w:val="000000"/>
                <w:vertAlign w:val="baseline"/>
                <w:lang w:val="en-US" w:eastAsia="zh-CN"/>
              </w:rPr>
            </w:pPr>
          </w:p>
        </w:tc>
        <w:tc>
          <w:tcPr>
            <w:tcW w:w="1220" w:type="dxa"/>
            <w:tcBorders>
              <w:top w:val="nil"/>
              <w:left w:val="nil"/>
              <w:bottom w:val="single" w:color="4874CB" w:sz="12" w:space="0"/>
              <w:right w:val="nil"/>
            </w:tcBorders>
            <w:shd w:val="clear" w:color="auto" w:fill="FFFFFF"/>
          </w:tcPr>
          <w:p w14:paraId="76CCDFD8">
            <w:pPr>
              <w:rPr>
                <w:rFonts w:hint="default"/>
                <w:b w:val="0"/>
                <w:color w:val="000000"/>
                <w:vertAlign w:val="baseline"/>
                <w:lang w:val="en-US" w:eastAsia="zh-CN"/>
              </w:rPr>
            </w:pPr>
          </w:p>
        </w:tc>
        <w:tc>
          <w:tcPr>
            <w:tcW w:w="5810" w:type="dxa"/>
            <w:tcBorders>
              <w:top w:val="nil"/>
              <w:left w:val="nil"/>
              <w:bottom w:val="single" w:color="4874CB" w:sz="12" w:space="0"/>
              <w:right w:val="nil"/>
            </w:tcBorders>
            <w:shd w:val="clear" w:color="auto" w:fill="FFFFFF"/>
          </w:tcPr>
          <w:p w14:paraId="57CED3AA">
            <w:pPr>
              <w:rPr>
                <w:rFonts w:hint="default"/>
                <w:b w:val="0"/>
                <w:color w:val="000000"/>
                <w:vertAlign w:val="baseline"/>
                <w:lang w:val="en-US" w:eastAsia="zh-CN"/>
              </w:rPr>
            </w:pPr>
          </w:p>
        </w:tc>
        <w:tc>
          <w:tcPr>
            <w:tcW w:w="731" w:type="dxa"/>
            <w:tcBorders>
              <w:top w:val="nil"/>
              <w:left w:val="nil"/>
              <w:bottom w:val="single" w:color="4874CB" w:sz="12" w:space="0"/>
              <w:right w:val="nil"/>
            </w:tcBorders>
            <w:shd w:val="clear" w:color="auto" w:fill="FFFFFF"/>
          </w:tcPr>
          <w:p w14:paraId="7BF672B8">
            <w:pPr>
              <w:rPr>
                <w:rFonts w:hint="default"/>
                <w:b w:val="0"/>
                <w:color w:val="000000"/>
                <w:vertAlign w:val="baseline"/>
                <w:lang w:val="en-US" w:eastAsia="zh-CN"/>
              </w:rPr>
            </w:pPr>
          </w:p>
        </w:tc>
      </w:tr>
    </w:tbl>
    <w:p w14:paraId="434E78B5">
      <w:pPr>
        <w:rPr>
          <w:rFonts w:hint="default"/>
          <w:lang w:val="en-US" w:eastAsia="zh-CN"/>
        </w:rPr>
      </w:pPr>
    </w:p>
    <w:sdt>
      <w:sdtPr>
        <w:rPr>
          <w:rFonts w:ascii="宋体" w:hAnsi="宋体" w:eastAsia="宋体" w:cstheme="minorBidi"/>
          <w:kern w:val="2"/>
          <w:sz w:val="21"/>
          <w:szCs w:val="24"/>
          <w:lang w:val="en-US" w:eastAsia="zh-CN" w:bidi="ar-SA"/>
        </w:rPr>
        <w:id w:val="147479263"/>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14:paraId="6D7D475D">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A9AD9E7">
          <w:pPr>
            <w:pStyle w:val="8"/>
            <w:tabs>
              <w:tab w:val="right" w:leader="dot" w:pos="830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_Toc5273 </w:instrText>
          </w:r>
          <w:r>
            <w:rPr>
              <w:rFonts w:hint="default"/>
              <w:lang w:val="en-US" w:eastAsia="zh-CN"/>
            </w:rPr>
            <w:fldChar w:fldCharType="separate"/>
          </w:r>
          <w:r>
            <w:rPr>
              <w:rFonts w:hint="eastAsia"/>
              <w:lang w:val="en-US" w:eastAsia="zh-CN"/>
            </w:rPr>
            <w:t>装备养成模块定义</w:t>
          </w:r>
          <w:r>
            <w:tab/>
          </w:r>
          <w:r>
            <w:fldChar w:fldCharType="begin"/>
          </w:r>
          <w:r>
            <w:instrText xml:space="preserve"> PAGEREF _Toc5273 \h </w:instrText>
          </w:r>
          <w:r>
            <w:fldChar w:fldCharType="separate"/>
          </w:r>
          <w:r>
            <w:t>1</w:t>
          </w:r>
          <w:r>
            <w:fldChar w:fldCharType="end"/>
          </w:r>
          <w:r>
            <w:rPr>
              <w:rFonts w:hint="default"/>
              <w:lang w:val="en-US" w:eastAsia="zh-CN"/>
            </w:rPr>
            <w:fldChar w:fldCharType="end"/>
          </w:r>
        </w:p>
        <w:p w14:paraId="644F4E9E">
          <w:pPr>
            <w:pStyle w:val="8"/>
            <w:tabs>
              <w:tab w:val="right" w:leader="dot" w:pos="8306"/>
            </w:tabs>
          </w:pPr>
          <w:r>
            <w:rPr>
              <w:rFonts w:hint="default"/>
              <w:lang w:val="en-US" w:eastAsia="zh-CN"/>
            </w:rPr>
            <w:fldChar w:fldCharType="begin"/>
          </w:r>
          <w:r>
            <w:rPr>
              <w:rFonts w:hint="default"/>
              <w:lang w:val="en-US" w:eastAsia="zh-CN"/>
            </w:rPr>
            <w:instrText xml:space="preserve"> HYPERLINK \l _Toc17107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_Toc17107 \h </w:instrText>
          </w:r>
          <w:r>
            <w:fldChar w:fldCharType="separate"/>
          </w:r>
          <w:r>
            <w:t>2</w:t>
          </w:r>
          <w:r>
            <w:fldChar w:fldCharType="end"/>
          </w:r>
          <w:r>
            <w:rPr>
              <w:rFonts w:hint="default"/>
              <w:lang w:val="en-US" w:eastAsia="zh-CN"/>
            </w:rPr>
            <w:fldChar w:fldCharType="end"/>
          </w:r>
        </w:p>
        <w:p w14:paraId="4D6B28B4">
          <w:pPr>
            <w:pStyle w:val="8"/>
            <w:tabs>
              <w:tab w:val="right" w:leader="dot" w:pos="8306"/>
            </w:tabs>
          </w:pPr>
          <w:r>
            <w:rPr>
              <w:rFonts w:hint="default"/>
              <w:lang w:val="en-US" w:eastAsia="zh-CN"/>
            </w:rPr>
            <w:fldChar w:fldCharType="begin"/>
          </w:r>
          <w:r>
            <w:rPr>
              <w:rFonts w:hint="default"/>
              <w:lang w:val="en-US" w:eastAsia="zh-CN"/>
            </w:rPr>
            <w:instrText xml:space="preserve"> HYPERLINK \l _Toc25542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_Toc25542 \h </w:instrText>
          </w:r>
          <w:r>
            <w:fldChar w:fldCharType="separate"/>
          </w:r>
          <w:r>
            <w:t>2</w:t>
          </w:r>
          <w:r>
            <w:fldChar w:fldCharType="end"/>
          </w:r>
          <w:r>
            <w:rPr>
              <w:rFonts w:hint="default"/>
              <w:lang w:val="en-US" w:eastAsia="zh-CN"/>
            </w:rPr>
            <w:fldChar w:fldCharType="end"/>
          </w:r>
        </w:p>
        <w:p w14:paraId="3098DC9E">
          <w:pPr>
            <w:pStyle w:val="8"/>
            <w:tabs>
              <w:tab w:val="right" w:leader="dot" w:pos="8306"/>
            </w:tabs>
          </w:pPr>
          <w:r>
            <w:rPr>
              <w:rFonts w:hint="default"/>
              <w:lang w:val="en-US" w:eastAsia="zh-CN"/>
            </w:rPr>
            <w:fldChar w:fldCharType="begin"/>
          </w:r>
          <w:r>
            <w:rPr>
              <w:rFonts w:hint="default"/>
              <w:lang w:val="en-US" w:eastAsia="zh-CN"/>
            </w:rPr>
            <w:instrText xml:space="preserve"> HYPERLINK \l _Toc27638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_Toc27638 \h </w:instrText>
          </w:r>
          <w:r>
            <w:fldChar w:fldCharType="separate"/>
          </w:r>
          <w:r>
            <w:t>3</w:t>
          </w:r>
          <w:r>
            <w:fldChar w:fldCharType="end"/>
          </w:r>
          <w:r>
            <w:rPr>
              <w:rFonts w:hint="default"/>
              <w:lang w:val="en-US" w:eastAsia="zh-CN"/>
            </w:rPr>
            <w:fldChar w:fldCharType="end"/>
          </w:r>
        </w:p>
        <w:p w14:paraId="459A03D8">
          <w:pPr>
            <w:pStyle w:val="9"/>
            <w:tabs>
              <w:tab w:val="right" w:leader="dot" w:pos="8306"/>
            </w:tabs>
          </w:pPr>
          <w:r>
            <w:rPr>
              <w:rFonts w:hint="default"/>
              <w:lang w:val="en-US" w:eastAsia="zh-CN"/>
            </w:rPr>
            <w:fldChar w:fldCharType="begin"/>
          </w:r>
          <w:r>
            <w:rPr>
              <w:rFonts w:hint="default"/>
              <w:lang w:val="en-US" w:eastAsia="zh-CN"/>
            </w:rPr>
            <w:instrText xml:space="preserve"> HYPERLINK \l _Toc2175 </w:instrText>
          </w:r>
          <w:r>
            <w:rPr>
              <w:rFonts w:hint="default"/>
              <w:lang w:val="en-US" w:eastAsia="zh-CN"/>
            </w:rPr>
            <w:fldChar w:fldCharType="separate"/>
          </w:r>
          <w:r>
            <w:rPr>
              <w:rFonts w:hint="eastAsia"/>
              <w:lang w:val="en-US" w:eastAsia="zh-CN"/>
            </w:rPr>
            <w:t>3.1 装备槽位强化</w:t>
          </w:r>
          <w:r>
            <w:tab/>
          </w:r>
          <w:r>
            <w:fldChar w:fldCharType="begin"/>
          </w:r>
          <w:r>
            <w:instrText xml:space="preserve"> PAGEREF _Toc2175 \h </w:instrText>
          </w:r>
          <w:r>
            <w:fldChar w:fldCharType="separate"/>
          </w:r>
          <w:r>
            <w:t>3</w:t>
          </w:r>
          <w:r>
            <w:fldChar w:fldCharType="end"/>
          </w:r>
          <w:r>
            <w:rPr>
              <w:rFonts w:hint="default"/>
              <w:lang w:val="en-US" w:eastAsia="zh-CN"/>
            </w:rPr>
            <w:fldChar w:fldCharType="end"/>
          </w:r>
        </w:p>
        <w:p w14:paraId="5E6FBCC5">
          <w:pPr>
            <w:pStyle w:val="9"/>
            <w:tabs>
              <w:tab w:val="right" w:leader="dot" w:pos="8306"/>
            </w:tabs>
          </w:pPr>
          <w:r>
            <w:rPr>
              <w:rFonts w:hint="default"/>
              <w:lang w:val="en-US" w:eastAsia="zh-CN"/>
            </w:rPr>
            <w:fldChar w:fldCharType="begin"/>
          </w:r>
          <w:r>
            <w:rPr>
              <w:rFonts w:hint="default"/>
              <w:lang w:val="en-US" w:eastAsia="zh-CN"/>
            </w:rPr>
            <w:instrText xml:space="preserve"> HYPERLINK \l _Toc28938 </w:instrText>
          </w:r>
          <w:r>
            <w:rPr>
              <w:rFonts w:hint="default"/>
              <w:lang w:val="en-US" w:eastAsia="zh-CN"/>
            </w:rPr>
            <w:fldChar w:fldCharType="separate"/>
          </w:r>
          <w:r>
            <w:rPr>
              <w:rFonts w:hint="eastAsia"/>
              <w:lang w:val="en-US" w:eastAsia="zh-CN"/>
            </w:rPr>
            <w:t>3.2 装备槽位升星</w:t>
          </w:r>
          <w:r>
            <w:tab/>
          </w:r>
          <w:r>
            <w:fldChar w:fldCharType="begin"/>
          </w:r>
          <w:r>
            <w:instrText xml:space="preserve"> PAGEREF _Toc28938 \h </w:instrText>
          </w:r>
          <w:r>
            <w:fldChar w:fldCharType="separate"/>
          </w:r>
          <w:r>
            <w:t>4</w:t>
          </w:r>
          <w:r>
            <w:fldChar w:fldCharType="end"/>
          </w:r>
          <w:r>
            <w:rPr>
              <w:rFonts w:hint="default"/>
              <w:lang w:val="en-US" w:eastAsia="zh-CN"/>
            </w:rPr>
            <w:fldChar w:fldCharType="end"/>
          </w:r>
        </w:p>
        <w:p w14:paraId="6769CDF6">
          <w:pPr>
            <w:pStyle w:val="9"/>
            <w:tabs>
              <w:tab w:val="right" w:leader="dot" w:pos="8306"/>
            </w:tabs>
          </w:pPr>
          <w:r>
            <w:rPr>
              <w:rFonts w:hint="default"/>
              <w:lang w:val="en-US" w:eastAsia="zh-CN"/>
            </w:rPr>
            <w:fldChar w:fldCharType="begin"/>
          </w:r>
          <w:r>
            <w:rPr>
              <w:rFonts w:hint="default"/>
              <w:lang w:val="en-US" w:eastAsia="zh-CN"/>
            </w:rPr>
            <w:instrText xml:space="preserve"> HYPERLINK \l _Toc9383 </w:instrText>
          </w:r>
          <w:r>
            <w:rPr>
              <w:rFonts w:hint="default"/>
              <w:lang w:val="en-US" w:eastAsia="zh-CN"/>
            </w:rPr>
            <w:fldChar w:fldCharType="separate"/>
          </w:r>
          <w:r>
            <w:rPr>
              <w:rFonts w:hint="eastAsia"/>
              <w:lang w:val="en-US" w:eastAsia="zh-CN"/>
            </w:rPr>
            <w:t>3.3 装备洗炼</w:t>
          </w:r>
          <w:r>
            <w:tab/>
          </w:r>
          <w:r>
            <w:fldChar w:fldCharType="begin"/>
          </w:r>
          <w:r>
            <w:instrText xml:space="preserve"> PAGEREF _Toc9383 \h </w:instrText>
          </w:r>
          <w:r>
            <w:fldChar w:fldCharType="separate"/>
          </w:r>
          <w:r>
            <w:t>5</w:t>
          </w:r>
          <w:r>
            <w:fldChar w:fldCharType="end"/>
          </w:r>
          <w:r>
            <w:rPr>
              <w:rFonts w:hint="default"/>
              <w:lang w:val="en-US" w:eastAsia="zh-CN"/>
            </w:rPr>
            <w:fldChar w:fldCharType="end"/>
          </w:r>
        </w:p>
        <w:p w14:paraId="32EC6322">
          <w:pPr>
            <w:pStyle w:val="9"/>
            <w:tabs>
              <w:tab w:val="right" w:leader="dot" w:pos="8306"/>
            </w:tabs>
          </w:pPr>
          <w:r>
            <w:rPr>
              <w:rFonts w:hint="default"/>
              <w:lang w:val="en-US" w:eastAsia="zh-CN"/>
            </w:rPr>
            <w:fldChar w:fldCharType="begin"/>
          </w:r>
          <w:r>
            <w:rPr>
              <w:rFonts w:hint="default"/>
              <w:lang w:val="en-US" w:eastAsia="zh-CN"/>
            </w:rPr>
            <w:instrText xml:space="preserve"> HYPERLINK \l _Toc2823 </w:instrText>
          </w:r>
          <w:r>
            <w:rPr>
              <w:rFonts w:hint="default"/>
              <w:lang w:val="en-US" w:eastAsia="zh-CN"/>
            </w:rPr>
            <w:fldChar w:fldCharType="separate"/>
          </w:r>
          <w:r>
            <w:rPr>
              <w:rFonts w:hint="eastAsia"/>
              <w:lang w:val="en-US" w:eastAsia="zh-CN"/>
            </w:rPr>
            <w:t>3.4 武器祝福</w:t>
          </w:r>
          <w:r>
            <w:tab/>
          </w:r>
          <w:r>
            <w:fldChar w:fldCharType="begin"/>
          </w:r>
          <w:r>
            <w:instrText xml:space="preserve"> PAGEREF _Toc2823 \h </w:instrText>
          </w:r>
          <w:r>
            <w:fldChar w:fldCharType="separate"/>
          </w:r>
          <w:r>
            <w:t>7</w:t>
          </w:r>
          <w:r>
            <w:fldChar w:fldCharType="end"/>
          </w:r>
          <w:r>
            <w:rPr>
              <w:rFonts w:hint="default"/>
              <w:lang w:val="en-US" w:eastAsia="zh-CN"/>
            </w:rPr>
            <w:fldChar w:fldCharType="end"/>
          </w:r>
        </w:p>
        <w:p w14:paraId="66B89618">
          <w:pPr>
            <w:pStyle w:val="8"/>
            <w:tabs>
              <w:tab w:val="right" w:leader="dot" w:pos="8306"/>
            </w:tabs>
          </w:pPr>
          <w:r>
            <w:rPr>
              <w:rFonts w:hint="default"/>
              <w:lang w:val="en-US" w:eastAsia="zh-CN"/>
            </w:rPr>
            <w:fldChar w:fldCharType="begin"/>
          </w:r>
          <w:r>
            <w:rPr>
              <w:rFonts w:hint="default"/>
              <w:lang w:val="en-US" w:eastAsia="zh-CN"/>
            </w:rPr>
            <w:instrText xml:space="preserve"> HYPERLINK \l _Toc14703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_Toc14703 \h </w:instrText>
          </w:r>
          <w:r>
            <w:fldChar w:fldCharType="separate"/>
          </w:r>
          <w:r>
            <w:t>8</w:t>
          </w:r>
          <w:r>
            <w:fldChar w:fldCharType="end"/>
          </w:r>
          <w:r>
            <w:rPr>
              <w:rFonts w:hint="default"/>
              <w:lang w:val="en-US" w:eastAsia="zh-CN"/>
            </w:rPr>
            <w:fldChar w:fldCharType="end"/>
          </w:r>
        </w:p>
        <w:p w14:paraId="6546E838">
          <w:pPr>
            <w:pStyle w:val="9"/>
            <w:tabs>
              <w:tab w:val="right" w:leader="dot" w:pos="8306"/>
            </w:tabs>
          </w:pPr>
          <w:r>
            <w:rPr>
              <w:rFonts w:hint="default"/>
              <w:lang w:val="en-US" w:eastAsia="zh-CN"/>
            </w:rPr>
            <w:fldChar w:fldCharType="begin"/>
          </w:r>
          <w:r>
            <w:rPr>
              <w:rFonts w:hint="default"/>
              <w:lang w:val="en-US" w:eastAsia="zh-CN"/>
            </w:rPr>
            <w:instrText xml:space="preserve"> HYPERLINK \l _Toc6669 </w:instrText>
          </w:r>
          <w:r>
            <w:rPr>
              <w:rFonts w:hint="default"/>
              <w:lang w:val="en-US" w:eastAsia="zh-CN"/>
            </w:rPr>
            <w:fldChar w:fldCharType="separate"/>
          </w:r>
          <w:r>
            <w:rPr>
              <w:rFonts w:hint="eastAsia"/>
              <w:lang w:val="en-US" w:eastAsia="zh-CN"/>
            </w:rPr>
            <w:t>4.1 强化操作流程图</w:t>
          </w:r>
          <w:r>
            <w:tab/>
          </w:r>
          <w:r>
            <w:fldChar w:fldCharType="begin"/>
          </w:r>
          <w:r>
            <w:instrText xml:space="preserve"> PAGEREF _Toc6669 \h </w:instrText>
          </w:r>
          <w:r>
            <w:fldChar w:fldCharType="separate"/>
          </w:r>
          <w:r>
            <w:t>8</w:t>
          </w:r>
          <w:r>
            <w:fldChar w:fldCharType="end"/>
          </w:r>
          <w:r>
            <w:rPr>
              <w:rFonts w:hint="default"/>
              <w:lang w:val="en-US" w:eastAsia="zh-CN"/>
            </w:rPr>
            <w:fldChar w:fldCharType="end"/>
          </w:r>
        </w:p>
        <w:p w14:paraId="7B55AB9F">
          <w:pPr>
            <w:pStyle w:val="9"/>
            <w:tabs>
              <w:tab w:val="right" w:leader="dot" w:pos="8306"/>
            </w:tabs>
          </w:pPr>
          <w:r>
            <w:rPr>
              <w:rFonts w:hint="default"/>
              <w:lang w:val="en-US" w:eastAsia="zh-CN"/>
            </w:rPr>
            <w:fldChar w:fldCharType="begin"/>
          </w:r>
          <w:r>
            <w:rPr>
              <w:rFonts w:hint="default"/>
              <w:lang w:val="en-US" w:eastAsia="zh-CN"/>
            </w:rPr>
            <w:instrText xml:space="preserve"> HYPERLINK \l _Toc17254 </w:instrText>
          </w:r>
          <w:r>
            <w:rPr>
              <w:rFonts w:hint="default"/>
              <w:lang w:val="en-US" w:eastAsia="zh-CN"/>
            </w:rPr>
            <w:fldChar w:fldCharType="separate"/>
          </w:r>
          <w:r>
            <w:rPr>
              <w:rFonts w:hint="eastAsia"/>
              <w:lang w:val="en-US" w:eastAsia="zh-CN"/>
            </w:rPr>
            <w:t>4.2 升星操作流程图</w:t>
          </w:r>
          <w:r>
            <w:tab/>
          </w:r>
          <w:r>
            <w:fldChar w:fldCharType="begin"/>
          </w:r>
          <w:r>
            <w:instrText xml:space="preserve"> PAGEREF _Toc17254 \h </w:instrText>
          </w:r>
          <w:r>
            <w:fldChar w:fldCharType="separate"/>
          </w:r>
          <w:r>
            <w:t>9</w:t>
          </w:r>
          <w:r>
            <w:fldChar w:fldCharType="end"/>
          </w:r>
          <w:r>
            <w:rPr>
              <w:rFonts w:hint="default"/>
              <w:lang w:val="en-US" w:eastAsia="zh-CN"/>
            </w:rPr>
            <w:fldChar w:fldCharType="end"/>
          </w:r>
        </w:p>
        <w:p w14:paraId="3C5E28C6">
          <w:pPr>
            <w:pStyle w:val="9"/>
            <w:tabs>
              <w:tab w:val="right" w:leader="dot" w:pos="8306"/>
            </w:tabs>
          </w:pPr>
          <w:r>
            <w:rPr>
              <w:rFonts w:hint="default"/>
              <w:lang w:val="en-US" w:eastAsia="zh-CN"/>
            </w:rPr>
            <w:fldChar w:fldCharType="begin"/>
          </w:r>
          <w:r>
            <w:rPr>
              <w:rFonts w:hint="default"/>
              <w:lang w:val="en-US" w:eastAsia="zh-CN"/>
            </w:rPr>
            <w:instrText xml:space="preserve"> HYPERLINK \l _Toc31150 </w:instrText>
          </w:r>
          <w:r>
            <w:rPr>
              <w:rFonts w:hint="default"/>
              <w:lang w:val="en-US" w:eastAsia="zh-CN"/>
            </w:rPr>
            <w:fldChar w:fldCharType="separate"/>
          </w:r>
          <w:r>
            <w:rPr>
              <w:rFonts w:hint="eastAsia"/>
              <w:lang w:val="en-US" w:eastAsia="zh-CN"/>
            </w:rPr>
            <w:t>4.3 洗炼操作流程图</w:t>
          </w:r>
          <w:r>
            <w:tab/>
          </w:r>
          <w:r>
            <w:fldChar w:fldCharType="begin"/>
          </w:r>
          <w:r>
            <w:instrText xml:space="preserve"> PAGEREF _Toc31150 \h </w:instrText>
          </w:r>
          <w:r>
            <w:fldChar w:fldCharType="separate"/>
          </w:r>
          <w:r>
            <w:t>10</w:t>
          </w:r>
          <w:r>
            <w:fldChar w:fldCharType="end"/>
          </w:r>
          <w:r>
            <w:rPr>
              <w:rFonts w:hint="default"/>
              <w:lang w:val="en-US" w:eastAsia="zh-CN"/>
            </w:rPr>
            <w:fldChar w:fldCharType="end"/>
          </w:r>
        </w:p>
        <w:p w14:paraId="7F73A8F7">
          <w:pPr>
            <w:pStyle w:val="9"/>
            <w:tabs>
              <w:tab w:val="right" w:leader="dot" w:pos="8306"/>
            </w:tabs>
          </w:pPr>
          <w:r>
            <w:rPr>
              <w:rFonts w:hint="default"/>
              <w:lang w:val="en-US" w:eastAsia="zh-CN"/>
            </w:rPr>
            <w:fldChar w:fldCharType="begin"/>
          </w:r>
          <w:r>
            <w:rPr>
              <w:rFonts w:hint="default"/>
              <w:lang w:val="en-US" w:eastAsia="zh-CN"/>
            </w:rPr>
            <w:instrText xml:space="preserve"> HYPERLINK \l _Toc17420 </w:instrText>
          </w:r>
          <w:r>
            <w:rPr>
              <w:rFonts w:hint="default"/>
              <w:lang w:val="en-US" w:eastAsia="zh-CN"/>
            </w:rPr>
            <w:fldChar w:fldCharType="separate"/>
          </w:r>
          <w:r>
            <w:rPr>
              <w:rFonts w:hint="eastAsia"/>
              <w:lang w:val="en-US" w:eastAsia="zh-CN"/>
            </w:rPr>
            <w:t>4.4 祝福操作流程图</w:t>
          </w:r>
          <w:r>
            <w:tab/>
          </w:r>
          <w:r>
            <w:fldChar w:fldCharType="begin"/>
          </w:r>
          <w:r>
            <w:instrText xml:space="preserve"> PAGEREF _Toc17420 \h </w:instrText>
          </w:r>
          <w:r>
            <w:fldChar w:fldCharType="separate"/>
          </w:r>
          <w:r>
            <w:t>11</w:t>
          </w:r>
          <w:r>
            <w:fldChar w:fldCharType="end"/>
          </w:r>
          <w:r>
            <w:rPr>
              <w:rFonts w:hint="default"/>
              <w:lang w:val="en-US" w:eastAsia="zh-CN"/>
            </w:rPr>
            <w:fldChar w:fldCharType="end"/>
          </w:r>
        </w:p>
        <w:p w14:paraId="11BF4873">
          <w:pPr>
            <w:rPr>
              <w:rFonts w:hint="default" w:asciiTheme="minorHAnsi" w:hAnsiTheme="minorHAnsi" w:eastAsiaTheme="minorEastAsia" w:cstheme="minorBidi"/>
              <w:kern w:val="2"/>
              <w:sz w:val="21"/>
              <w:szCs w:val="24"/>
              <w:lang w:val="en-US" w:eastAsia="zh-CN" w:bidi="ar-SA"/>
            </w:rPr>
          </w:pPr>
          <w:r>
            <w:rPr>
              <w:rFonts w:hint="default"/>
              <w:lang w:val="en-US" w:eastAsia="zh-CN"/>
            </w:rPr>
            <w:fldChar w:fldCharType="end"/>
          </w:r>
        </w:p>
      </w:sdtContent>
    </w:sdt>
    <w:p w14:paraId="58017596">
      <w:pPr>
        <w:rPr>
          <w:rFonts w:hint="default" w:asciiTheme="minorHAnsi" w:hAnsiTheme="minorHAnsi" w:eastAsiaTheme="minorEastAsia" w:cstheme="minorBidi"/>
          <w:kern w:val="2"/>
          <w:sz w:val="21"/>
          <w:szCs w:val="24"/>
          <w:lang w:val="en-US" w:eastAsia="zh-CN" w:bidi="ar-SA"/>
        </w:rPr>
      </w:pPr>
    </w:p>
    <w:p w14:paraId="15EB5336">
      <w:pPr>
        <w:rPr>
          <w:rFonts w:hint="default"/>
          <w:lang w:val="en-US" w:eastAsia="zh-CN"/>
        </w:rPr>
      </w:pPr>
    </w:p>
    <w:p w14:paraId="35278E08">
      <w:pPr>
        <w:rPr>
          <w:rFonts w:hint="default"/>
          <w:lang w:val="en-US" w:eastAsia="zh-CN"/>
        </w:rPr>
      </w:pPr>
    </w:p>
    <w:p w14:paraId="15C5307E">
      <w:pPr>
        <w:rPr>
          <w:rFonts w:hint="default"/>
          <w:lang w:val="en-US" w:eastAsia="zh-CN"/>
        </w:rPr>
      </w:pPr>
    </w:p>
    <w:p w14:paraId="0501F2AC">
      <w:pPr>
        <w:rPr>
          <w:rFonts w:hint="default"/>
          <w:lang w:val="en-US" w:eastAsia="zh-CN"/>
        </w:rPr>
      </w:pPr>
    </w:p>
    <w:p w14:paraId="0F92984C">
      <w:pPr>
        <w:rPr>
          <w:rFonts w:hint="default"/>
          <w:lang w:val="en-US" w:eastAsia="zh-CN"/>
        </w:rPr>
      </w:pPr>
    </w:p>
    <w:p w14:paraId="05E455C3">
      <w:pPr>
        <w:rPr>
          <w:rFonts w:hint="default"/>
          <w:lang w:val="en-US" w:eastAsia="zh-CN"/>
        </w:rPr>
      </w:pPr>
    </w:p>
    <w:p w14:paraId="7146AC01">
      <w:pPr>
        <w:rPr>
          <w:rFonts w:hint="default"/>
          <w:lang w:val="en-US" w:eastAsia="zh-CN"/>
        </w:rPr>
      </w:pPr>
    </w:p>
    <w:p w14:paraId="09FDAFB9">
      <w:pPr>
        <w:rPr>
          <w:rFonts w:hint="default"/>
          <w:lang w:val="en-US" w:eastAsia="zh-CN"/>
        </w:rPr>
      </w:pPr>
    </w:p>
    <w:p w14:paraId="55607B20">
      <w:pPr>
        <w:rPr>
          <w:rFonts w:hint="default"/>
          <w:lang w:val="en-US" w:eastAsia="zh-CN"/>
        </w:rPr>
      </w:pPr>
    </w:p>
    <w:p w14:paraId="2E209203">
      <w:pPr>
        <w:rPr>
          <w:rFonts w:hint="default"/>
          <w:lang w:val="en-US" w:eastAsia="zh-CN"/>
        </w:rPr>
      </w:pPr>
    </w:p>
    <w:p w14:paraId="533E6726">
      <w:pPr>
        <w:rPr>
          <w:rFonts w:hint="default"/>
          <w:lang w:val="en-US" w:eastAsia="zh-CN"/>
        </w:rPr>
      </w:pPr>
    </w:p>
    <w:p w14:paraId="7471891E">
      <w:pPr>
        <w:rPr>
          <w:rFonts w:hint="default"/>
          <w:lang w:val="en-US" w:eastAsia="zh-CN"/>
        </w:rPr>
      </w:pPr>
    </w:p>
    <w:p w14:paraId="53E381C9">
      <w:pPr>
        <w:rPr>
          <w:rFonts w:hint="default"/>
          <w:lang w:val="en-US" w:eastAsia="zh-CN"/>
        </w:rPr>
      </w:pPr>
    </w:p>
    <w:p w14:paraId="646A7F2E">
      <w:pPr>
        <w:rPr>
          <w:rFonts w:hint="default"/>
          <w:lang w:val="en-US" w:eastAsia="zh-CN"/>
        </w:rPr>
      </w:pPr>
    </w:p>
    <w:p w14:paraId="4A55610D">
      <w:pPr>
        <w:rPr>
          <w:rFonts w:hint="default"/>
          <w:lang w:val="en-US" w:eastAsia="zh-CN"/>
        </w:rPr>
      </w:pPr>
    </w:p>
    <w:p w14:paraId="521BD538">
      <w:pPr>
        <w:rPr>
          <w:rFonts w:hint="default"/>
          <w:lang w:val="en-US" w:eastAsia="zh-CN"/>
        </w:rPr>
      </w:pPr>
    </w:p>
    <w:p w14:paraId="53D0BB34">
      <w:pPr>
        <w:rPr>
          <w:rFonts w:hint="default"/>
          <w:lang w:val="en-US" w:eastAsia="zh-CN"/>
        </w:rPr>
      </w:pPr>
    </w:p>
    <w:p w14:paraId="0E880A58">
      <w:pPr>
        <w:rPr>
          <w:rFonts w:hint="default"/>
          <w:lang w:val="en-US" w:eastAsia="zh-CN"/>
        </w:rPr>
      </w:pPr>
    </w:p>
    <w:p w14:paraId="475A7FA8">
      <w:pPr>
        <w:pStyle w:val="3"/>
        <w:numPr>
          <w:ilvl w:val="0"/>
          <w:numId w:val="1"/>
        </w:numPr>
        <w:bidi w:val="0"/>
        <w:outlineLvl w:val="0"/>
        <w:rPr>
          <w:rFonts w:hint="eastAsia"/>
          <w:lang w:val="en-US" w:eastAsia="zh-CN"/>
        </w:rPr>
      </w:pPr>
      <w:bookmarkStart w:id="1" w:name="_Toc17107"/>
      <w:bookmarkStart w:id="13" w:name="_GoBack"/>
      <w:bookmarkEnd w:id="13"/>
      <w:r>
        <w:rPr>
          <w:rFonts w:hint="eastAsia"/>
          <w:lang w:val="en-US" w:eastAsia="zh-CN"/>
        </w:rPr>
        <w:t>设计目的</w:t>
      </w:r>
      <w:bookmarkEnd w:id="1"/>
    </w:p>
    <w:p w14:paraId="27B70F9E">
      <w:pPr>
        <w:numPr>
          <w:ilvl w:val="0"/>
          <w:numId w:val="2"/>
        </w:numPr>
        <w:ind w:left="425" w:leftChars="0" w:hanging="425" w:firstLineChars="0"/>
        <w:rPr>
          <w:rFonts w:hint="eastAsia"/>
          <w:lang w:val="en-US" w:eastAsia="zh-CN"/>
        </w:rPr>
      </w:pPr>
      <w:r>
        <w:rPr>
          <w:rFonts w:hint="eastAsia"/>
          <w:lang w:val="en-US" w:eastAsia="zh-CN"/>
        </w:rPr>
        <w:t>设计游戏内的核心养成模块，承载游戏内角色的主要数值投放内容。</w:t>
      </w:r>
    </w:p>
    <w:p w14:paraId="0236DD1F">
      <w:pPr>
        <w:pStyle w:val="3"/>
        <w:numPr>
          <w:ilvl w:val="0"/>
          <w:numId w:val="1"/>
        </w:numPr>
        <w:bidi w:val="0"/>
        <w:outlineLvl w:val="0"/>
        <w:rPr>
          <w:rFonts w:hint="eastAsia"/>
          <w:lang w:val="en-US" w:eastAsia="zh-CN"/>
        </w:rPr>
      </w:pPr>
      <w:bookmarkStart w:id="2" w:name="_Toc25542"/>
      <w:r>
        <w:rPr>
          <w:rFonts w:hint="eastAsia"/>
          <w:lang w:val="en-US" w:eastAsia="zh-CN"/>
        </w:rPr>
        <w:t>系统概述</w:t>
      </w:r>
      <w:bookmarkEnd w:id="2"/>
    </w:p>
    <w:p w14:paraId="73E4AB4F">
      <w:pPr>
        <w:numPr>
          <w:ilvl w:val="0"/>
          <w:numId w:val="3"/>
        </w:numPr>
        <w:ind w:left="425" w:leftChars="0" w:hanging="425" w:firstLineChars="0"/>
        <w:rPr>
          <w:rFonts w:hint="eastAsia"/>
          <w:lang w:val="en-US" w:eastAsia="zh-CN"/>
        </w:rPr>
      </w:pPr>
      <w:r>
        <w:rPr>
          <w:rFonts w:hint="eastAsia"/>
          <w:lang w:val="en-US" w:eastAsia="zh-CN"/>
        </w:rPr>
        <w:t>装备的养成线的操作方式均为点击安全区对应的NPC之后，在所弹出的NPC对话框界面进行。</w:t>
      </w:r>
    </w:p>
    <w:p w14:paraId="4DD6283F">
      <w:pPr>
        <w:numPr>
          <w:ilvl w:val="0"/>
          <w:numId w:val="3"/>
        </w:numPr>
        <w:ind w:left="425" w:leftChars="0" w:hanging="425" w:firstLineChars="0"/>
        <w:rPr>
          <w:rFonts w:hint="eastAsia"/>
          <w:lang w:val="en-US" w:eastAsia="zh-CN"/>
        </w:rPr>
      </w:pPr>
      <w:r>
        <w:rPr>
          <w:rFonts w:hint="eastAsia"/>
          <w:lang w:val="en-US" w:eastAsia="zh-CN"/>
        </w:rPr>
        <w:t>装备强化和装备升星两个模块的数值载体为装备槽位，即使角色对应槽位上没有穿戴装备，也可以进行强化和升星的操作，只不过对应的属性需要穿戴了装备之后才能生效。</w:t>
      </w:r>
    </w:p>
    <w:p w14:paraId="74637E77">
      <w:pPr>
        <w:numPr>
          <w:ilvl w:val="0"/>
          <w:numId w:val="3"/>
        </w:numPr>
        <w:ind w:left="425" w:leftChars="0" w:hanging="425" w:firstLineChars="0"/>
        <w:rPr>
          <w:rFonts w:hint="eastAsia"/>
          <w:lang w:val="en-US" w:eastAsia="zh-CN"/>
        </w:rPr>
      </w:pPr>
      <w:r>
        <w:rPr>
          <w:rFonts w:hint="eastAsia"/>
          <w:lang w:val="en-US" w:eastAsia="zh-CN"/>
        </w:rPr>
        <w:t>装备洗炼和武器祝福则针对的是已经穿戴的装备本体，所增加的属性也是绑定在对应的装备上。</w:t>
      </w:r>
    </w:p>
    <w:p w14:paraId="190DEC7A">
      <w:pPr>
        <w:numPr>
          <w:ilvl w:val="0"/>
          <w:numId w:val="3"/>
        </w:numPr>
        <w:ind w:left="425" w:leftChars="0" w:hanging="425" w:firstLineChars="0"/>
        <w:rPr>
          <w:rFonts w:hint="eastAsia"/>
          <w:lang w:val="en-US" w:eastAsia="zh-CN"/>
        </w:rPr>
      </w:pPr>
      <w:r>
        <w:rPr>
          <w:rFonts w:hint="eastAsia"/>
          <w:lang w:val="en-US" w:eastAsia="zh-CN"/>
        </w:rPr>
        <w:t>装备强化消耗强化石和金币，对指定的装备槽位进行强化，但只有穿戴了装备之后，槽位的强化等级所带来的属性提升才会增加到角色面板上去，且，不同品质的装备，在相同的强化等级下，所增加的强化属性数值也不同。</w:t>
      </w:r>
    </w:p>
    <w:p w14:paraId="063357B4">
      <w:pPr>
        <w:numPr>
          <w:ilvl w:val="0"/>
          <w:numId w:val="3"/>
        </w:numPr>
        <w:ind w:left="425" w:leftChars="0" w:hanging="425" w:firstLineChars="0"/>
        <w:rPr>
          <w:rFonts w:hint="eastAsia"/>
          <w:lang w:val="en-US" w:eastAsia="zh-CN"/>
        </w:rPr>
      </w:pPr>
      <w:r>
        <w:rPr>
          <w:rFonts w:hint="eastAsia"/>
          <w:lang w:val="en-US" w:eastAsia="zh-CN"/>
        </w:rPr>
        <w:t>装备升星消耗升星石和金币，对指定的装备槽位进行升星，同样的也只有穿戴了装备之后，槽位的星级所带来的属性提升才会增加的角色面板上去。装备升星有成功几率，失败则掉一颗星。</w:t>
      </w:r>
    </w:p>
    <w:p w14:paraId="0D6A71B4">
      <w:pPr>
        <w:numPr>
          <w:ilvl w:val="0"/>
          <w:numId w:val="3"/>
        </w:numPr>
        <w:ind w:left="425" w:leftChars="0" w:hanging="425" w:firstLineChars="0"/>
        <w:rPr>
          <w:rFonts w:hint="eastAsia"/>
          <w:lang w:val="en-US" w:eastAsia="zh-CN"/>
        </w:rPr>
      </w:pPr>
      <w:r>
        <w:rPr>
          <w:rFonts w:hint="eastAsia"/>
          <w:lang w:val="en-US" w:eastAsia="zh-CN"/>
        </w:rPr>
        <w:t>装备洗炼分为两种模式：金币洗炼（属性种类和数值都会变）；钻石洗炼（属性种类不变只变数值）。只有装备生成时带有极品属性的装备才能进行洗炼。</w:t>
      </w:r>
    </w:p>
    <w:p w14:paraId="734957D2">
      <w:pPr>
        <w:numPr>
          <w:ilvl w:val="0"/>
          <w:numId w:val="3"/>
        </w:numPr>
        <w:ind w:left="425" w:leftChars="0" w:hanging="425" w:firstLineChars="0"/>
        <w:rPr>
          <w:rFonts w:hint="eastAsia"/>
          <w:lang w:val="en-US" w:eastAsia="zh-CN"/>
        </w:rPr>
      </w:pPr>
      <w:r>
        <w:rPr>
          <w:rFonts w:hint="eastAsia"/>
          <w:lang w:val="en-US" w:eastAsia="zh-CN"/>
        </w:rPr>
        <w:t>武器祝福消耗祝福油进行操作，主要增加武器的幸运值，最高只能到9。武器祝福具有成功几率，但可以选择使用幸运符来提升几率，以及保底符来确保失败不掉级。</w:t>
      </w:r>
    </w:p>
    <w:p w14:paraId="4522F209">
      <w:pPr>
        <w:pStyle w:val="3"/>
        <w:numPr>
          <w:ilvl w:val="0"/>
          <w:numId w:val="1"/>
        </w:numPr>
        <w:bidi w:val="0"/>
        <w:outlineLvl w:val="0"/>
        <w:rPr>
          <w:rFonts w:hint="eastAsia"/>
          <w:lang w:val="en-US" w:eastAsia="zh-CN"/>
        </w:rPr>
      </w:pPr>
      <w:bookmarkStart w:id="3" w:name="_Toc27638"/>
      <w:r>
        <w:rPr>
          <w:rFonts w:hint="eastAsia"/>
          <w:lang w:val="en-US" w:eastAsia="zh-CN"/>
        </w:rPr>
        <w:t>实现方式</w:t>
      </w:r>
      <w:bookmarkEnd w:id="3"/>
    </w:p>
    <w:p w14:paraId="68FE0E5C">
      <w:pPr>
        <w:pStyle w:val="4"/>
        <w:bidi w:val="0"/>
        <w:outlineLvl w:val="1"/>
        <w:rPr>
          <w:rFonts w:hint="eastAsia"/>
          <w:lang w:val="en-US" w:eastAsia="zh-CN"/>
        </w:rPr>
      </w:pPr>
      <w:bookmarkStart w:id="4" w:name="_Toc2175"/>
      <w:r>
        <w:rPr>
          <w:rFonts w:hint="eastAsia"/>
          <w:lang w:val="en-US" w:eastAsia="zh-CN"/>
        </w:rPr>
        <w:t>3.1 装备槽位强化</w:t>
      </w:r>
      <w:bookmarkEnd w:id="4"/>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01"/>
        <w:gridCol w:w="4321"/>
      </w:tblGrid>
      <w:tr w14:paraId="247AD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tcPr>
          <w:p w14:paraId="218DF700">
            <w:pPr>
              <w:rPr>
                <w:rFonts w:hint="default"/>
                <w:vertAlign w:val="baseline"/>
                <w:lang w:val="en-US" w:eastAsia="zh-CN"/>
              </w:rPr>
            </w:pPr>
            <w:r>
              <w:drawing>
                <wp:inline distT="0" distB="0" distL="114300" distR="114300">
                  <wp:extent cx="5270500" cy="290512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905125"/>
                          </a:xfrm>
                          <a:prstGeom prst="rect">
                            <a:avLst/>
                          </a:prstGeom>
                          <a:noFill/>
                          <a:ln>
                            <a:noFill/>
                          </a:ln>
                        </pic:spPr>
                      </pic:pic>
                    </a:graphicData>
                  </a:graphic>
                </wp:inline>
              </w:drawing>
            </w:r>
          </w:p>
        </w:tc>
      </w:tr>
      <w:tr w14:paraId="14E0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tcPr>
          <w:p w14:paraId="6ACB869F">
            <w:pPr>
              <w:rPr>
                <w:rFonts w:hint="eastAsia"/>
                <w:vertAlign w:val="baseline"/>
                <w:lang w:val="en-US" w:eastAsia="zh-CN"/>
              </w:rPr>
            </w:pPr>
            <w:r>
              <w:rPr>
                <w:rFonts w:hint="eastAsia"/>
                <w:vertAlign w:val="baseline"/>
                <w:lang w:val="en-US" w:eastAsia="zh-CN"/>
              </w:rPr>
              <w:t>如上图所示：在安全区的“强化大师”NPC处，点击之后可以弹出NPC对话框。</w:t>
            </w:r>
          </w:p>
          <w:p w14:paraId="4D541170">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如果强化功能尚未开启，则在点击NPC之后给出飘字提示或者系统提示：强化功能XX级开启。</w:t>
            </w:r>
          </w:p>
          <w:p w14:paraId="11443FF1">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功能开启之后，点击NPC则弹出装备强化的对话框操作界面，如下所述</w:t>
            </w:r>
          </w:p>
        </w:tc>
      </w:tr>
      <w:tr w14:paraId="057B3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01" w:type="dxa"/>
          </w:tcPr>
          <w:p w14:paraId="3563B790">
            <w:pPr>
              <w:rPr>
                <w:rFonts w:hint="default"/>
                <w:vertAlign w:val="baseline"/>
                <w:lang w:val="en-US" w:eastAsia="zh-CN"/>
              </w:rPr>
            </w:pPr>
            <w:r>
              <w:drawing>
                <wp:inline distT="0" distB="0" distL="114300" distR="114300">
                  <wp:extent cx="2477135" cy="1414780"/>
                  <wp:effectExtent l="0" t="0" r="1841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477135" cy="1414780"/>
                          </a:xfrm>
                          <a:prstGeom prst="rect">
                            <a:avLst/>
                          </a:prstGeom>
                          <a:noFill/>
                          <a:ln>
                            <a:noFill/>
                          </a:ln>
                        </pic:spPr>
                      </pic:pic>
                    </a:graphicData>
                  </a:graphic>
                </wp:inline>
              </w:drawing>
            </w:r>
          </w:p>
        </w:tc>
        <w:tc>
          <w:tcPr>
            <w:tcW w:w="4321" w:type="dxa"/>
          </w:tcPr>
          <w:p w14:paraId="4D11BDA9">
            <w:pPr>
              <w:rPr>
                <w:rFonts w:hint="eastAsia"/>
                <w:vertAlign w:val="baseline"/>
                <w:lang w:val="en-US" w:eastAsia="zh-CN"/>
              </w:rPr>
            </w:pPr>
            <w:r>
              <w:rPr>
                <w:rFonts w:hint="eastAsia"/>
                <w:vertAlign w:val="baseline"/>
                <w:lang w:val="en-US" w:eastAsia="zh-CN"/>
              </w:rPr>
              <w:t>如左图所示，为第一层对话框界面：</w:t>
            </w:r>
          </w:p>
          <w:p w14:paraId="7CE13D7A">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点击关闭按钮则直接关闭对话框。</w:t>
            </w:r>
          </w:p>
          <w:p w14:paraId="44BEEFD5">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点击“规则说明”文本链接则直接弹出通用的文本类对话框。</w:t>
            </w:r>
          </w:p>
          <w:p w14:paraId="53F8C05D">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界面的显示内容和文字颜色如图所示。</w:t>
            </w:r>
          </w:p>
          <w:p w14:paraId="0ACE4E26">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此处显示所有的装备槽位（10个），每一个槽位均为可点击的文本链接，点击之后可以弹出下一级对话框界面，见下图。</w:t>
            </w:r>
          </w:p>
          <w:p w14:paraId="21272154">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每一个槽位之后均需要显示该槽位当前的强化等级。</w:t>
            </w:r>
          </w:p>
        </w:tc>
      </w:tr>
      <w:tr w14:paraId="42550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01" w:type="dxa"/>
          </w:tcPr>
          <w:p w14:paraId="2DBBC0A2">
            <w:r>
              <w:drawing>
                <wp:inline distT="0" distB="0" distL="114300" distR="114300">
                  <wp:extent cx="2529205" cy="1454150"/>
                  <wp:effectExtent l="0" t="0" r="444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29205" cy="1454150"/>
                          </a:xfrm>
                          <a:prstGeom prst="rect">
                            <a:avLst/>
                          </a:prstGeom>
                          <a:noFill/>
                          <a:ln>
                            <a:noFill/>
                          </a:ln>
                        </pic:spPr>
                      </pic:pic>
                    </a:graphicData>
                  </a:graphic>
                </wp:inline>
              </w:drawing>
            </w:r>
          </w:p>
          <w:p w14:paraId="4A023985">
            <w:pPr>
              <w:rPr>
                <w:rFonts w:hint="default"/>
                <w:lang w:val="en-US" w:eastAsia="zh-CN"/>
              </w:rPr>
            </w:pPr>
            <w:r>
              <w:drawing>
                <wp:inline distT="0" distB="0" distL="114300" distR="114300">
                  <wp:extent cx="2529205" cy="1454150"/>
                  <wp:effectExtent l="0" t="0" r="444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29205" cy="1454150"/>
                          </a:xfrm>
                          <a:prstGeom prst="rect">
                            <a:avLst/>
                          </a:prstGeom>
                          <a:noFill/>
                          <a:ln>
                            <a:noFill/>
                          </a:ln>
                        </pic:spPr>
                      </pic:pic>
                    </a:graphicData>
                  </a:graphic>
                </wp:inline>
              </w:drawing>
            </w:r>
          </w:p>
        </w:tc>
        <w:tc>
          <w:tcPr>
            <w:tcW w:w="4321" w:type="dxa"/>
          </w:tcPr>
          <w:p w14:paraId="7201ACF4">
            <w:pPr>
              <w:rPr>
                <w:rFonts w:hint="eastAsia"/>
                <w:vertAlign w:val="baseline"/>
                <w:lang w:val="en-US" w:eastAsia="zh-CN"/>
              </w:rPr>
            </w:pPr>
            <w:r>
              <w:rPr>
                <w:rFonts w:hint="eastAsia"/>
                <w:vertAlign w:val="baseline"/>
                <w:lang w:val="en-US" w:eastAsia="zh-CN"/>
              </w:rPr>
              <w:t>如左图所示，为上图中点击具体的装备槽位之后弹出的下一级对话框界面：</w:t>
            </w:r>
          </w:p>
          <w:p w14:paraId="6D0FCE76">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界面上方显示当前的槽位名称。</w:t>
            </w:r>
          </w:p>
          <w:p w14:paraId="7031D49C">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点击关闭按钮和“返回上一层”均回到上图界面。</w:t>
            </w:r>
          </w:p>
          <w:p w14:paraId="0312B8AC">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界面显示内容如图所示。</w:t>
            </w:r>
          </w:p>
          <w:p w14:paraId="594E77BB">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强化消耗和等级限制的数字需要按照：{当前所需/当前达到}的模式进行显示。若当前条件不满足，则所需的数字用红色显示；反之，则用绿色显示。</w:t>
            </w:r>
          </w:p>
          <w:p w14:paraId="4322E7AD">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点击强化一次，判断条件是否满足，如果不满足则飘字或者系统提示：XX不足！反之，则消耗材料，对装备槽位进行一次强化操作。</w:t>
            </w:r>
          </w:p>
          <w:p w14:paraId="427F5AE8">
            <w:pPr>
              <w:numPr>
                <w:ilvl w:val="0"/>
                <w:numId w:val="6"/>
              </w:numPr>
              <w:ind w:left="425" w:leftChars="0" w:hanging="425" w:firstLineChars="0"/>
              <w:rPr>
                <w:rFonts w:hint="default"/>
                <w:vertAlign w:val="baseline"/>
                <w:lang w:val="en-US" w:eastAsia="zh-CN"/>
              </w:rPr>
            </w:pPr>
            <w:r>
              <w:rPr>
                <w:rFonts w:hint="eastAsia"/>
                <w:vertAlign w:val="baseline"/>
                <w:lang w:val="en-US" w:eastAsia="zh-CN"/>
              </w:rPr>
              <w:t>点击一键至顶，则将当前槽位强化到其所能强化的最高等级为止，材料不足或者已经满级是停止的判断条件。</w:t>
            </w:r>
          </w:p>
        </w:tc>
      </w:tr>
      <w:tr w14:paraId="4CE26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01" w:type="dxa"/>
          </w:tcPr>
          <w:p w14:paraId="042AD276">
            <w:pPr>
              <w:rPr>
                <w:rFonts w:hint="default"/>
                <w:vertAlign w:val="baseline"/>
                <w:lang w:val="en-US" w:eastAsia="zh-CN"/>
              </w:rPr>
            </w:pPr>
            <w:r>
              <w:drawing>
                <wp:inline distT="0" distB="0" distL="114300" distR="114300">
                  <wp:extent cx="2529205" cy="1454150"/>
                  <wp:effectExtent l="0" t="0" r="444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529205" cy="1454150"/>
                          </a:xfrm>
                          <a:prstGeom prst="rect">
                            <a:avLst/>
                          </a:prstGeom>
                          <a:noFill/>
                          <a:ln>
                            <a:noFill/>
                          </a:ln>
                        </pic:spPr>
                      </pic:pic>
                    </a:graphicData>
                  </a:graphic>
                </wp:inline>
              </w:drawing>
            </w:r>
          </w:p>
        </w:tc>
        <w:tc>
          <w:tcPr>
            <w:tcW w:w="4321" w:type="dxa"/>
          </w:tcPr>
          <w:p w14:paraId="07EBCC35">
            <w:pPr>
              <w:rPr>
                <w:rFonts w:hint="eastAsia"/>
                <w:vertAlign w:val="baseline"/>
                <w:lang w:val="en-US" w:eastAsia="zh-CN"/>
              </w:rPr>
            </w:pPr>
            <w:r>
              <w:rPr>
                <w:rFonts w:hint="eastAsia"/>
                <w:vertAlign w:val="baseline"/>
                <w:lang w:val="en-US" w:eastAsia="zh-CN"/>
              </w:rPr>
              <w:t>如左图所示，为强化到最高等级时的界面显示：</w:t>
            </w:r>
          </w:p>
          <w:p w14:paraId="11C6D9B5">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操作区域用文字显示：请提升角色等级后再来。</w:t>
            </w:r>
          </w:p>
          <w:p w14:paraId="263850ED">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每一个槽位当前所能强化的最高等级不得高于角色等级。</w:t>
            </w:r>
          </w:p>
          <w:p w14:paraId="4A0CA849">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每个槽位强化属性最多有三行。</w:t>
            </w:r>
          </w:p>
        </w:tc>
      </w:tr>
    </w:tbl>
    <w:p w14:paraId="1DC58FCF">
      <w:pPr>
        <w:pStyle w:val="4"/>
        <w:bidi w:val="0"/>
        <w:outlineLvl w:val="1"/>
        <w:rPr>
          <w:rFonts w:hint="eastAsia"/>
          <w:lang w:val="en-US" w:eastAsia="zh-CN"/>
        </w:rPr>
      </w:pPr>
      <w:bookmarkStart w:id="5" w:name="_Toc28938"/>
      <w:r>
        <w:rPr>
          <w:rFonts w:hint="eastAsia"/>
          <w:lang w:val="en-US" w:eastAsia="zh-CN"/>
        </w:rPr>
        <w:t>3.2 装备槽位升星</w:t>
      </w:r>
      <w:bookmarkEnd w:id="5"/>
    </w:p>
    <w:p w14:paraId="7EE52F17">
      <w:pPr>
        <w:ind w:firstLine="420" w:firstLineChars="0"/>
        <w:rPr>
          <w:rFonts w:hint="default"/>
          <w:lang w:val="en-US" w:eastAsia="zh-CN"/>
        </w:rPr>
      </w:pPr>
      <w:r>
        <w:rPr>
          <w:rFonts w:hint="eastAsia"/>
          <w:lang w:val="en-US" w:eastAsia="zh-CN"/>
        </w:rPr>
        <w:t>点击安全区的“升星大师”NPC同样可以弹出升星的对话框界面，同样的，如果升星功能未开启，则点击NPC之后给出飘字或者系统提示：升星功能X级开启！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21A3A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7B1F83A">
            <w:pPr>
              <w:rPr>
                <w:rFonts w:hint="default"/>
                <w:vertAlign w:val="baseline"/>
                <w:lang w:val="en-US" w:eastAsia="zh-CN"/>
              </w:rPr>
            </w:pPr>
            <w:r>
              <w:drawing>
                <wp:inline distT="0" distB="0" distL="114300" distR="114300">
                  <wp:extent cx="2474595" cy="1413510"/>
                  <wp:effectExtent l="0" t="0" r="190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474595" cy="1413510"/>
                          </a:xfrm>
                          <a:prstGeom prst="rect">
                            <a:avLst/>
                          </a:prstGeom>
                          <a:noFill/>
                          <a:ln>
                            <a:noFill/>
                          </a:ln>
                        </pic:spPr>
                      </pic:pic>
                    </a:graphicData>
                  </a:graphic>
                </wp:inline>
              </w:drawing>
            </w:r>
          </w:p>
        </w:tc>
        <w:tc>
          <w:tcPr>
            <w:tcW w:w="4261" w:type="dxa"/>
          </w:tcPr>
          <w:p w14:paraId="12C24483">
            <w:pPr>
              <w:rPr>
                <w:rFonts w:hint="eastAsia"/>
                <w:vertAlign w:val="baseline"/>
                <w:lang w:val="en-US" w:eastAsia="zh-CN"/>
              </w:rPr>
            </w:pPr>
            <w:r>
              <w:rPr>
                <w:rFonts w:hint="eastAsia"/>
                <w:vertAlign w:val="baseline"/>
                <w:lang w:val="en-US" w:eastAsia="zh-CN"/>
              </w:rPr>
              <w:t>如左图所示，对话框第一层界面显示方式和强化相同，不同点在于：</w:t>
            </w:r>
          </w:p>
          <w:p w14:paraId="65250201">
            <w:pPr>
              <w:numPr>
                <w:ilvl w:val="0"/>
                <w:numId w:val="8"/>
              </w:numPr>
              <w:ind w:left="425" w:leftChars="0" w:hanging="425" w:firstLineChars="0"/>
              <w:rPr>
                <w:rFonts w:hint="default"/>
                <w:vertAlign w:val="baseline"/>
                <w:lang w:val="en-US" w:eastAsia="zh-CN"/>
              </w:rPr>
            </w:pPr>
            <w:r>
              <w:rPr>
                <w:rFonts w:hint="eastAsia"/>
                <w:vertAlign w:val="baseline"/>
                <w:lang w:val="en-US" w:eastAsia="zh-CN"/>
              </w:rPr>
              <w:t>槽位后所显示的为当前槽位的星级。</w:t>
            </w:r>
          </w:p>
          <w:p w14:paraId="7FBB2E5F">
            <w:pPr>
              <w:numPr>
                <w:ilvl w:val="0"/>
                <w:numId w:val="8"/>
              </w:numPr>
              <w:ind w:left="425" w:leftChars="0" w:hanging="425" w:firstLineChars="0"/>
              <w:rPr>
                <w:rFonts w:hint="default"/>
                <w:vertAlign w:val="baseline"/>
                <w:lang w:val="en-US" w:eastAsia="zh-CN"/>
              </w:rPr>
            </w:pPr>
            <w:r>
              <w:rPr>
                <w:rFonts w:hint="eastAsia"/>
                <w:vertAlign w:val="baseline"/>
                <w:lang w:val="en-US" w:eastAsia="zh-CN"/>
              </w:rPr>
              <w:t>每个槽位最高可升到15星，失败会掉1星。具体数值从配置读取。</w:t>
            </w:r>
          </w:p>
        </w:tc>
      </w:tr>
      <w:tr w14:paraId="2FB79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EC3B1C2">
            <w:r>
              <w:drawing>
                <wp:inline distT="0" distB="0" distL="114300" distR="114300">
                  <wp:extent cx="2458085" cy="1413510"/>
                  <wp:effectExtent l="0" t="0" r="1841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458085" cy="1413510"/>
                          </a:xfrm>
                          <a:prstGeom prst="rect">
                            <a:avLst/>
                          </a:prstGeom>
                          <a:noFill/>
                          <a:ln>
                            <a:noFill/>
                          </a:ln>
                        </pic:spPr>
                      </pic:pic>
                    </a:graphicData>
                  </a:graphic>
                </wp:inline>
              </w:drawing>
            </w:r>
          </w:p>
          <w:p w14:paraId="3E9B9AE3">
            <w:pPr>
              <w:rPr>
                <w:rFonts w:hint="default"/>
                <w:lang w:val="en-US" w:eastAsia="zh-CN"/>
              </w:rPr>
            </w:pPr>
            <w:r>
              <w:drawing>
                <wp:inline distT="0" distB="0" distL="114300" distR="114300">
                  <wp:extent cx="2458085" cy="1413510"/>
                  <wp:effectExtent l="0" t="0" r="1841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458085" cy="1413510"/>
                          </a:xfrm>
                          <a:prstGeom prst="rect">
                            <a:avLst/>
                          </a:prstGeom>
                          <a:noFill/>
                          <a:ln>
                            <a:noFill/>
                          </a:ln>
                        </pic:spPr>
                      </pic:pic>
                    </a:graphicData>
                  </a:graphic>
                </wp:inline>
              </w:drawing>
            </w:r>
          </w:p>
        </w:tc>
        <w:tc>
          <w:tcPr>
            <w:tcW w:w="4261" w:type="dxa"/>
          </w:tcPr>
          <w:p w14:paraId="2AC4800E">
            <w:pPr>
              <w:rPr>
                <w:rFonts w:hint="eastAsia"/>
                <w:vertAlign w:val="baseline"/>
                <w:lang w:val="en-US" w:eastAsia="zh-CN"/>
              </w:rPr>
            </w:pPr>
            <w:r>
              <w:rPr>
                <w:rFonts w:hint="eastAsia"/>
                <w:vertAlign w:val="baseline"/>
                <w:lang w:val="en-US" w:eastAsia="zh-CN"/>
              </w:rPr>
              <w:t>如左图所示，为上图中点击对应的槽位之后打开的第二层对话框界面，与强化的界面不同点在于：</w:t>
            </w:r>
          </w:p>
          <w:p w14:paraId="64FCC8AC">
            <w:pPr>
              <w:numPr>
                <w:ilvl w:val="0"/>
                <w:numId w:val="9"/>
              </w:numPr>
              <w:ind w:left="425" w:leftChars="0" w:hanging="425" w:firstLineChars="0"/>
              <w:rPr>
                <w:rFonts w:hint="default"/>
                <w:vertAlign w:val="baseline"/>
                <w:lang w:val="en-US" w:eastAsia="zh-CN"/>
              </w:rPr>
            </w:pPr>
            <w:r>
              <w:rPr>
                <w:rFonts w:hint="eastAsia"/>
                <w:vertAlign w:val="baseline"/>
                <w:lang w:val="en-US" w:eastAsia="zh-CN"/>
              </w:rPr>
              <w:t>等级限制变成了成功几率的显示。</w:t>
            </w:r>
          </w:p>
          <w:p w14:paraId="28E2EDF6">
            <w:pPr>
              <w:numPr>
                <w:ilvl w:val="0"/>
                <w:numId w:val="9"/>
              </w:numPr>
              <w:ind w:left="425" w:leftChars="0" w:hanging="425" w:firstLineChars="0"/>
              <w:rPr>
                <w:rFonts w:hint="default"/>
                <w:vertAlign w:val="baseline"/>
                <w:lang w:val="en-US" w:eastAsia="zh-CN"/>
              </w:rPr>
            </w:pPr>
            <w:r>
              <w:rPr>
                <w:rFonts w:hint="eastAsia"/>
                <w:vertAlign w:val="baseline"/>
                <w:lang w:val="en-US" w:eastAsia="zh-CN"/>
              </w:rPr>
              <w:t>一键升至文字按钮后接的为弹出列表，点击之后可以选择一键升到的星级（只有大于当前星级的选项可点）</w:t>
            </w:r>
          </w:p>
          <w:p w14:paraId="2B20B5AE">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如果选择一键升星，则会在该界面进行一次次的升星，失败或者成功均需要以飘字提示或者系统公告的形式提示：升星成功！Or升星失败！</w:t>
            </w:r>
          </w:p>
          <w:p w14:paraId="791F1B9E">
            <w:pPr>
              <w:numPr>
                <w:ilvl w:val="0"/>
                <w:numId w:val="9"/>
              </w:numPr>
              <w:ind w:left="425" w:leftChars="0" w:hanging="425" w:firstLineChars="0"/>
              <w:rPr>
                <w:rFonts w:hint="default"/>
                <w:vertAlign w:val="baseline"/>
                <w:lang w:val="en-US" w:eastAsia="zh-CN"/>
              </w:rPr>
            </w:pPr>
            <w:r>
              <w:rPr>
                <w:rFonts w:hint="eastAsia"/>
                <w:vertAlign w:val="baseline"/>
                <w:lang w:val="en-US" w:eastAsia="zh-CN"/>
              </w:rPr>
              <w:t>一键升星过程中，达到目标星级或者材料不足均会停止该过程。</w:t>
            </w:r>
          </w:p>
          <w:p w14:paraId="26BF1509">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在自动升星的过程中，点击关闭按钮或者返回上一页，均会中断自动升星的操作。</w:t>
            </w:r>
          </w:p>
        </w:tc>
      </w:tr>
      <w:tr w14:paraId="40E9D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88A7613">
            <w:pPr>
              <w:rPr>
                <w:rFonts w:hint="default"/>
                <w:vertAlign w:val="baseline"/>
                <w:lang w:val="en-US" w:eastAsia="zh-CN"/>
              </w:rPr>
            </w:pPr>
            <w:r>
              <w:drawing>
                <wp:inline distT="0" distB="0" distL="114300" distR="114300">
                  <wp:extent cx="2475865" cy="1423670"/>
                  <wp:effectExtent l="0" t="0" r="63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475865" cy="1423670"/>
                          </a:xfrm>
                          <a:prstGeom prst="rect">
                            <a:avLst/>
                          </a:prstGeom>
                          <a:noFill/>
                          <a:ln>
                            <a:noFill/>
                          </a:ln>
                        </pic:spPr>
                      </pic:pic>
                    </a:graphicData>
                  </a:graphic>
                </wp:inline>
              </w:drawing>
            </w:r>
          </w:p>
        </w:tc>
        <w:tc>
          <w:tcPr>
            <w:tcW w:w="4261" w:type="dxa"/>
          </w:tcPr>
          <w:p w14:paraId="7E070153">
            <w:pPr>
              <w:rPr>
                <w:rFonts w:hint="eastAsia"/>
                <w:vertAlign w:val="baseline"/>
                <w:lang w:val="en-US" w:eastAsia="zh-CN"/>
              </w:rPr>
            </w:pPr>
            <w:r>
              <w:rPr>
                <w:rFonts w:hint="eastAsia"/>
                <w:vertAlign w:val="baseline"/>
                <w:lang w:val="en-US" w:eastAsia="zh-CN"/>
              </w:rPr>
              <w:t>如左图所示，为点击星级选择的弹出框示意图：</w:t>
            </w:r>
          </w:p>
          <w:p w14:paraId="67E095DC">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能选择的星级只有大于当前星级的选项。</w:t>
            </w:r>
          </w:p>
          <w:p w14:paraId="0819B087">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默认选择的星级为：当前等级+1</w:t>
            </w:r>
          </w:p>
        </w:tc>
      </w:tr>
      <w:tr w14:paraId="415AD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22F7D25">
            <w:pPr>
              <w:rPr>
                <w:rFonts w:hint="default"/>
                <w:vertAlign w:val="baseline"/>
                <w:lang w:val="en-US" w:eastAsia="zh-CN"/>
              </w:rPr>
            </w:pPr>
            <w:r>
              <w:drawing>
                <wp:inline distT="0" distB="0" distL="114300" distR="114300">
                  <wp:extent cx="2535555" cy="1457960"/>
                  <wp:effectExtent l="0" t="0" r="171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535555" cy="1457960"/>
                          </a:xfrm>
                          <a:prstGeom prst="rect">
                            <a:avLst/>
                          </a:prstGeom>
                          <a:noFill/>
                          <a:ln>
                            <a:noFill/>
                          </a:ln>
                        </pic:spPr>
                      </pic:pic>
                    </a:graphicData>
                  </a:graphic>
                </wp:inline>
              </w:drawing>
            </w:r>
          </w:p>
        </w:tc>
        <w:tc>
          <w:tcPr>
            <w:tcW w:w="4261" w:type="dxa"/>
          </w:tcPr>
          <w:p w14:paraId="647F617C">
            <w:pPr>
              <w:rPr>
                <w:rFonts w:hint="eastAsia"/>
                <w:vertAlign w:val="baseline"/>
                <w:lang w:val="en-US" w:eastAsia="zh-CN"/>
              </w:rPr>
            </w:pPr>
            <w:r>
              <w:rPr>
                <w:rFonts w:hint="eastAsia"/>
                <w:vertAlign w:val="baseline"/>
                <w:lang w:val="en-US" w:eastAsia="zh-CN"/>
              </w:rPr>
              <w:t>如左图所示，点击一键升星之后，处于自动升星状态下的界面显示：</w:t>
            </w:r>
          </w:p>
          <w:p w14:paraId="5F0A1CCC">
            <w:pPr>
              <w:numPr>
                <w:ilvl w:val="0"/>
                <w:numId w:val="11"/>
              </w:numPr>
              <w:ind w:left="425" w:leftChars="0" w:hanging="425" w:firstLineChars="0"/>
              <w:rPr>
                <w:rFonts w:hint="eastAsia"/>
                <w:vertAlign w:val="baseline"/>
                <w:lang w:val="en-US" w:eastAsia="zh-CN"/>
              </w:rPr>
            </w:pPr>
            <w:r>
              <w:rPr>
                <w:rFonts w:hint="eastAsia"/>
                <w:vertAlign w:val="baseline"/>
                <w:lang w:val="en-US" w:eastAsia="zh-CN"/>
              </w:rPr>
              <w:t>点击停止升星则回到图2所示状态。</w:t>
            </w:r>
          </w:p>
          <w:p w14:paraId="12F7F125">
            <w:pPr>
              <w:numPr>
                <w:ilvl w:val="0"/>
                <w:numId w:val="11"/>
              </w:numPr>
              <w:ind w:left="425" w:leftChars="0" w:hanging="425" w:firstLineChars="0"/>
              <w:rPr>
                <w:rFonts w:hint="eastAsia"/>
                <w:vertAlign w:val="baseline"/>
                <w:lang w:val="en-US" w:eastAsia="zh-CN"/>
              </w:rPr>
            </w:pPr>
            <w:r>
              <w:rPr>
                <w:rFonts w:hint="eastAsia"/>
                <w:vertAlign w:val="baseline"/>
                <w:lang w:val="en-US" w:eastAsia="zh-CN"/>
              </w:rPr>
              <w:t>点击关闭按钮和返回上一页均为停止升星操作，并返回上一层界面。</w:t>
            </w:r>
          </w:p>
          <w:p w14:paraId="4E5DDEDD">
            <w:pPr>
              <w:rPr>
                <w:rFonts w:hint="default"/>
                <w:vertAlign w:val="baseline"/>
                <w:lang w:val="en-US" w:eastAsia="zh-CN"/>
              </w:rPr>
            </w:pPr>
          </w:p>
        </w:tc>
      </w:tr>
      <w:tr w14:paraId="6F6C7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8DE4880">
            <w:pPr>
              <w:rPr>
                <w:rFonts w:hint="default"/>
                <w:vertAlign w:val="baseline"/>
                <w:lang w:val="en-US" w:eastAsia="zh-CN"/>
              </w:rPr>
            </w:pPr>
            <w:r>
              <w:drawing>
                <wp:inline distT="0" distB="0" distL="114300" distR="114300">
                  <wp:extent cx="2479040" cy="1425575"/>
                  <wp:effectExtent l="0" t="0" r="165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479040" cy="1425575"/>
                          </a:xfrm>
                          <a:prstGeom prst="rect">
                            <a:avLst/>
                          </a:prstGeom>
                          <a:noFill/>
                          <a:ln>
                            <a:noFill/>
                          </a:ln>
                        </pic:spPr>
                      </pic:pic>
                    </a:graphicData>
                  </a:graphic>
                </wp:inline>
              </w:drawing>
            </w:r>
          </w:p>
        </w:tc>
        <w:tc>
          <w:tcPr>
            <w:tcW w:w="4261" w:type="dxa"/>
          </w:tcPr>
          <w:p w14:paraId="32108836">
            <w:pPr>
              <w:rPr>
                <w:rFonts w:hint="eastAsia"/>
                <w:vertAlign w:val="baseline"/>
                <w:lang w:val="en-US" w:eastAsia="zh-CN"/>
              </w:rPr>
            </w:pPr>
            <w:r>
              <w:rPr>
                <w:rFonts w:hint="eastAsia"/>
                <w:vertAlign w:val="baseline"/>
                <w:lang w:val="en-US" w:eastAsia="zh-CN"/>
              </w:rPr>
              <w:t>如左图所示，为升星到最高等级之后的界面显示状态：</w:t>
            </w:r>
          </w:p>
          <w:p w14:paraId="5C7B3209">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当前星级和下一星级所显示属性内容相同。</w:t>
            </w:r>
          </w:p>
          <w:p w14:paraId="1A99D9C3">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按钮操作区域显示文字：已升至满星状态！</w:t>
            </w:r>
          </w:p>
        </w:tc>
      </w:tr>
    </w:tbl>
    <w:p w14:paraId="4DEBC2F2">
      <w:pPr>
        <w:pStyle w:val="4"/>
        <w:bidi w:val="0"/>
        <w:outlineLvl w:val="1"/>
        <w:rPr>
          <w:rFonts w:hint="eastAsia"/>
          <w:lang w:val="en-US" w:eastAsia="zh-CN"/>
        </w:rPr>
      </w:pPr>
      <w:bookmarkStart w:id="6" w:name="_Toc9383"/>
      <w:r>
        <w:rPr>
          <w:rFonts w:hint="eastAsia"/>
          <w:lang w:val="en-US" w:eastAsia="zh-CN"/>
        </w:rPr>
        <w:t>3.3 装备洗炼</w:t>
      </w:r>
      <w:bookmarkEnd w:id="6"/>
    </w:p>
    <w:p w14:paraId="2155EE19">
      <w:pPr>
        <w:ind w:firstLine="420" w:firstLineChars="0"/>
        <w:rPr>
          <w:rFonts w:hint="eastAsia"/>
          <w:lang w:val="en-US" w:eastAsia="zh-CN"/>
        </w:rPr>
      </w:pPr>
      <w:r>
        <w:rPr>
          <w:rFonts w:hint="eastAsia"/>
          <w:lang w:val="en-US" w:eastAsia="zh-CN"/>
        </w:rPr>
        <w:t>点击安全区的“洗炼大师”NPC可以弹出装备洗炼的对话框操作界面。如果未满足功能开启条件，则在点击NPC之后需要给出飘字或者系统提示：洗炼功能X级开启。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356"/>
        <w:gridCol w:w="4166"/>
      </w:tblGrid>
      <w:tr w14:paraId="3725A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BB10883">
            <w:pPr>
              <w:rPr>
                <w:rFonts w:hint="default"/>
                <w:vertAlign w:val="baseline"/>
                <w:lang w:val="en-US" w:eastAsia="zh-CN"/>
              </w:rPr>
            </w:pPr>
            <w:r>
              <w:drawing>
                <wp:inline distT="0" distB="0" distL="114300" distR="114300">
                  <wp:extent cx="2557145" cy="1477010"/>
                  <wp:effectExtent l="0" t="0" r="146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557145" cy="1477010"/>
                          </a:xfrm>
                          <a:prstGeom prst="rect">
                            <a:avLst/>
                          </a:prstGeom>
                          <a:noFill/>
                          <a:ln>
                            <a:noFill/>
                          </a:ln>
                        </pic:spPr>
                      </pic:pic>
                    </a:graphicData>
                  </a:graphic>
                </wp:inline>
              </w:drawing>
            </w:r>
          </w:p>
        </w:tc>
        <w:tc>
          <w:tcPr>
            <w:tcW w:w="4261" w:type="dxa"/>
          </w:tcPr>
          <w:p w14:paraId="18A05F88">
            <w:pPr>
              <w:rPr>
                <w:rFonts w:hint="eastAsia"/>
                <w:vertAlign w:val="baseline"/>
                <w:lang w:val="en-US" w:eastAsia="zh-CN"/>
              </w:rPr>
            </w:pPr>
            <w:r>
              <w:rPr>
                <w:rFonts w:hint="eastAsia"/>
                <w:vertAlign w:val="baseline"/>
                <w:lang w:val="en-US" w:eastAsia="zh-CN"/>
              </w:rPr>
              <w:t>如左图所示，当角色已经穿戴的装备中没有一件带有极品属性时的显示内容：</w:t>
            </w:r>
          </w:p>
          <w:p w14:paraId="31B29DED">
            <w:pPr>
              <w:numPr>
                <w:ilvl w:val="0"/>
                <w:numId w:val="13"/>
              </w:numPr>
              <w:ind w:left="425" w:leftChars="0" w:hanging="425" w:firstLineChars="0"/>
              <w:rPr>
                <w:rFonts w:hint="default"/>
                <w:vertAlign w:val="baseline"/>
                <w:lang w:val="en-US" w:eastAsia="zh-CN"/>
              </w:rPr>
            </w:pPr>
            <w:r>
              <w:rPr>
                <w:rFonts w:hint="eastAsia"/>
                <w:vertAlign w:val="baseline"/>
                <w:lang w:val="en-US" w:eastAsia="zh-CN"/>
              </w:rPr>
              <w:t>界面内的提示语文字如图所示。</w:t>
            </w:r>
          </w:p>
        </w:tc>
      </w:tr>
      <w:tr w14:paraId="4CC5E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26A67B9">
            <w:pPr>
              <w:rPr>
                <w:rFonts w:hint="default"/>
                <w:vertAlign w:val="baseline"/>
                <w:lang w:val="en-US" w:eastAsia="zh-CN"/>
              </w:rPr>
            </w:pPr>
            <w:r>
              <w:drawing>
                <wp:inline distT="0" distB="0" distL="114300" distR="114300">
                  <wp:extent cx="2611755" cy="1501775"/>
                  <wp:effectExtent l="0" t="0" r="171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611755" cy="1501775"/>
                          </a:xfrm>
                          <a:prstGeom prst="rect">
                            <a:avLst/>
                          </a:prstGeom>
                          <a:noFill/>
                          <a:ln>
                            <a:noFill/>
                          </a:ln>
                        </pic:spPr>
                      </pic:pic>
                    </a:graphicData>
                  </a:graphic>
                </wp:inline>
              </w:drawing>
            </w:r>
          </w:p>
        </w:tc>
        <w:tc>
          <w:tcPr>
            <w:tcW w:w="4261" w:type="dxa"/>
          </w:tcPr>
          <w:p w14:paraId="113B3446">
            <w:pPr>
              <w:rPr>
                <w:rFonts w:hint="eastAsia"/>
                <w:vertAlign w:val="baseline"/>
                <w:lang w:val="en-US" w:eastAsia="zh-CN"/>
              </w:rPr>
            </w:pPr>
            <w:r>
              <w:rPr>
                <w:rFonts w:hint="eastAsia"/>
                <w:vertAlign w:val="baseline"/>
                <w:lang w:val="en-US" w:eastAsia="zh-CN"/>
              </w:rPr>
              <w:t>如左图所示，为角色已经穿戴的装备中有极品属性的界面显示：</w:t>
            </w:r>
          </w:p>
          <w:p w14:paraId="26403216">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此处仅显示已经穿戴的装备中带有极品属性的装备，有几个显示几个。</w:t>
            </w:r>
          </w:p>
          <w:p w14:paraId="617C0110">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装备名称后需要显示当前装备带有几条极品属性，也就是有几条可以洗炼。</w:t>
            </w:r>
          </w:p>
        </w:tc>
      </w:tr>
      <w:tr w14:paraId="24DB5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FB40AA8">
            <w:pPr>
              <w:rPr>
                <w:rFonts w:hint="default"/>
                <w:vertAlign w:val="baseline"/>
                <w:lang w:val="en-US" w:eastAsia="zh-CN"/>
              </w:rPr>
            </w:pPr>
            <w:r>
              <w:drawing>
                <wp:inline distT="0" distB="0" distL="114300" distR="114300">
                  <wp:extent cx="2623820" cy="1508760"/>
                  <wp:effectExtent l="0" t="0" r="508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623820" cy="1508760"/>
                          </a:xfrm>
                          <a:prstGeom prst="rect">
                            <a:avLst/>
                          </a:prstGeom>
                          <a:noFill/>
                          <a:ln>
                            <a:noFill/>
                          </a:ln>
                        </pic:spPr>
                      </pic:pic>
                    </a:graphicData>
                  </a:graphic>
                </wp:inline>
              </w:drawing>
            </w:r>
          </w:p>
        </w:tc>
        <w:tc>
          <w:tcPr>
            <w:tcW w:w="4261" w:type="dxa"/>
          </w:tcPr>
          <w:p w14:paraId="17C7C2C8">
            <w:pPr>
              <w:rPr>
                <w:rFonts w:hint="eastAsia"/>
                <w:vertAlign w:val="baseline"/>
                <w:lang w:val="en-US" w:eastAsia="zh-CN"/>
              </w:rPr>
            </w:pPr>
            <w:r>
              <w:rPr>
                <w:rFonts w:hint="eastAsia"/>
                <w:vertAlign w:val="baseline"/>
                <w:lang w:val="en-US" w:eastAsia="zh-CN"/>
              </w:rPr>
              <w:t>如左图所示，为点击具体的装备之后的洗炼操作界面：</w:t>
            </w:r>
          </w:p>
          <w:p w14:paraId="7BC2E723">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该界面需要显示对应部位的装备名称，且名称的文字颜色和其品质颜色相同。</w:t>
            </w:r>
          </w:p>
          <w:p w14:paraId="48F59BB8">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打开洗炼界面时，默认选择第一条当前极品属性，且此处的勾选框为只能选择一个，为单选框。</w:t>
            </w:r>
          </w:p>
          <w:p w14:paraId="452F42A4">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金币洗炼和钻石洗炼按钮下方常在显示对应洗炼所需要消耗的货币数量。不同品质的装备洗炼消耗数量也不同。</w:t>
            </w:r>
          </w:p>
        </w:tc>
      </w:tr>
      <w:tr w14:paraId="74E06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1D4E314">
            <w:r>
              <w:drawing>
                <wp:inline distT="0" distB="0" distL="114300" distR="114300">
                  <wp:extent cx="2502535" cy="1438910"/>
                  <wp:effectExtent l="0" t="0" r="1206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502535" cy="1438910"/>
                          </a:xfrm>
                          <a:prstGeom prst="rect">
                            <a:avLst/>
                          </a:prstGeom>
                          <a:noFill/>
                          <a:ln>
                            <a:noFill/>
                          </a:ln>
                        </pic:spPr>
                      </pic:pic>
                    </a:graphicData>
                  </a:graphic>
                </wp:inline>
              </w:drawing>
            </w:r>
          </w:p>
          <w:p w14:paraId="113074B2">
            <w:r>
              <w:drawing>
                <wp:inline distT="0" distB="0" distL="114300" distR="114300">
                  <wp:extent cx="2512060" cy="14446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512060" cy="1444625"/>
                          </a:xfrm>
                          <a:prstGeom prst="rect">
                            <a:avLst/>
                          </a:prstGeom>
                          <a:noFill/>
                          <a:ln>
                            <a:noFill/>
                          </a:ln>
                        </pic:spPr>
                      </pic:pic>
                    </a:graphicData>
                  </a:graphic>
                </wp:inline>
              </w:drawing>
            </w:r>
          </w:p>
          <w:p w14:paraId="0D3723F6">
            <w:pPr>
              <w:rPr>
                <w:rFonts w:hint="default"/>
                <w:lang w:val="en-US" w:eastAsia="zh-CN"/>
              </w:rPr>
            </w:pPr>
            <w:r>
              <w:drawing>
                <wp:inline distT="0" distB="0" distL="114300" distR="114300">
                  <wp:extent cx="2247265" cy="1292225"/>
                  <wp:effectExtent l="0" t="0" r="63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2247265" cy="1292225"/>
                          </a:xfrm>
                          <a:prstGeom prst="rect">
                            <a:avLst/>
                          </a:prstGeom>
                          <a:noFill/>
                          <a:ln>
                            <a:noFill/>
                          </a:ln>
                        </pic:spPr>
                      </pic:pic>
                    </a:graphicData>
                  </a:graphic>
                </wp:inline>
              </w:drawing>
            </w:r>
          </w:p>
        </w:tc>
        <w:tc>
          <w:tcPr>
            <w:tcW w:w="4261" w:type="dxa"/>
          </w:tcPr>
          <w:p w14:paraId="759A1277">
            <w:pPr>
              <w:rPr>
                <w:rFonts w:hint="eastAsia"/>
                <w:vertAlign w:val="baseline"/>
                <w:lang w:val="en-US" w:eastAsia="zh-CN"/>
              </w:rPr>
            </w:pPr>
            <w:r>
              <w:rPr>
                <w:rFonts w:hint="eastAsia"/>
                <w:vertAlign w:val="baseline"/>
                <w:lang w:val="en-US" w:eastAsia="zh-CN"/>
              </w:rPr>
              <w:t>如左图所示，为点击了洗炼之后有洗炼结果的操作界面：</w:t>
            </w:r>
          </w:p>
          <w:p w14:paraId="5BDF5E1F">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一旦有了洗炼结果，则原来的洗炼按钮所在位置变为：放弃结果、保留结果，点击之后放弃或者保留当前的洗炼属性。</w:t>
            </w:r>
          </w:p>
          <w:p w14:paraId="2F6A3D6A">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在该界面状态下，左侧的勾选框无法再进行选择勾选。</w:t>
            </w:r>
          </w:p>
          <w:p w14:paraId="2519FDB5">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此状态下，点击关闭按钮或者返回上一页时需要弹出一个：是否确定返回？返回之后将放弃当前结果。的确认框。如果无法弹框，则默认有洗炼结果状态下，关闭当前界面，则放弃洗炼结果。</w:t>
            </w:r>
          </w:p>
          <w:p w14:paraId="1537CF7C">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保留洗炼结果的状态是将洗炼出的结果覆盖掉所选择的当前极品属性。</w:t>
            </w:r>
          </w:p>
          <w:p w14:paraId="142759BB">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同样的，洗炼材料不满足时，需要红色数字显示，点击按钮给出系统提示。</w:t>
            </w:r>
          </w:p>
          <w:p w14:paraId="05A05636">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特别的，如果有属性已经达到了可洗炼的最高数值，则需要在对应的属性后面添加一个MAX标记，如左图所示。</w:t>
            </w:r>
          </w:p>
        </w:tc>
      </w:tr>
    </w:tbl>
    <w:p w14:paraId="41F43302">
      <w:pPr>
        <w:pStyle w:val="4"/>
        <w:bidi w:val="0"/>
        <w:outlineLvl w:val="1"/>
        <w:rPr>
          <w:rFonts w:hint="eastAsia"/>
          <w:lang w:val="en-US" w:eastAsia="zh-CN"/>
        </w:rPr>
      </w:pPr>
      <w:bookmarkStart w:id="7" w:name="_Toc2823"/>
      <w:r>
        <w:rPr>
          <w:rFonts w:hint="eastAsia"/>
          <w:lang w:val="en-US" w:eastAsia="zh-CN"/>
        </w:rPr>
        <w:t>3.4 武器祝福</w:t>
      </w:r>
      <w:bookmarkEnd w:id="7"/>
    </w:p>
    <w:p w14:paraId="74C45D3D">
      <w:pPr>
        <w:ind w:firstLine="420" w:firstLineChars="0"/>
        <w:rPr>
          <w:rFonts w:hint="eastAsia"/>
          <w:lang w:val="en-US" w:eastAsia="zh-CN"/>
        </w:rPr>
      </w:pPr>
      <w:r>
        <w:rPr>
          <w:rFonts w:hint="eastAsia"/>
          <w:lang w:val="en-US" w:eastAsia="zh-CN"/>
        </w:rPr>
        <w:t>点击安全区的“祝福大师”NPC之后可以弹出武器祝福的操作界面，如果祝福功能尚未开启，则在点击NPC之后给出飘字提示或者系统提示：祝福功能X级开启！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96"/>
        <w:gridCol w:w="4226"/>
      </w:tblGrid>
      <w:tr w14:paraId="66A6D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760B112">
            <w:pPr>
              <w:rPr>
                <w:rFonts w:hint="default"/>
                <w:vertAlign w:val="baseline"/>
                <w:lang w:val="en-US" w:eastAsia="zh-CN"/>
              </w:rPr>
            </w:pPr>
            <w:r>
              <w:drawing>
                <wp:inline distT="0" distB="0" distL="114300" distR="114300">
                  <wp:extent cx="2402205" cy="1387475"/>
                  <wp:effectExtent l="0" t="0" r="1714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402205" cy="1387475"/>
                          </a:xfrm>
                          <a:prstGeom prst="rect">
                            <a:avLst/>
                          </a:prstGeom>
                          <a:noFill/>
                          <a:ln>
                            <a:noFill/>
                          </a:ln>
                        </pic:spPr>
                      </pic:pic>
                    </a:graphicData>
                  </a:graphic>
                </wp:inline>
              </w:drawing>
            </w:r>
          </w:p>
        </w:tc>
        <w:tc>
          <w:tcPr>
            <w:tcW w:w="4261" w:type="dxa"/>
          </w:tcPr>
          <w:p w14:paraId="539D942E">
            <w:pPr>
              <w:rPr>
                <w:rFonts w:hint="eastAsia"/>
                <w:vertAlign w:val="baseline"/>
                <w:lang w:val="en-US" w:eastAsia="zh-CN"/>
              </w:rPr>
            </w:pPr>
            <w:r>
              <w:rPr>
                <w:rFonts w:hint="eastAsia"/>
                <w:vertAlign w:val="baseline"/>
                <w:lang w:val="en-US" w:eastAsia="zh-CN"/>
              </w:rPr>
              <w:t>如左图所示，为当前角色尚未穿戴武器装备时，点击NPC弹出的对话框显示内容：</w:t>
            </w:r>
          </w:p>
          <w:p w14:paraId="7C3F7A04">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界面的显示文字内容如图所示。</w:t>
            </w:r>
          </w:p>
        </w:tc>
      </w:tr>
      <w:tr w14:paraId="0A3AF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4A01348">
            <w:pPr>
              <w:rPr>
                <w:rFonts w:hint="default"/>
                <w:vertAlign w:val="baseline"/>
                <w:lang w:val="en-US" w:eastAsia="zh-CN"/>
              </w:rPr>
            </w:pPr>
            <w:r>
              <w:drawing>
                <wp:inline distT="0" distB="0" distL="114300" distR="114300">
                  <wp:extent cx="2502535" cy="1438910"/>
                  <wp:effectExtent l="0" t="0" r="1206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2502535" cy="1438910"/>
                          </a:xfrm>
                          <a:prstGeom prst="rect">
                            <a:avLst/>
                          </a:prstGeom>
                          <a:noFill/>
                          <a:ln>
                            <a:noFill/>
                          </a:ln>
                        </pic:spPr>
                      </pic:pic>
                    </a:graphicData>
                  </a:graphic>
                </wp:inline>
              </w:drawing>
            </w:r>
          </w:p>
        </w:tc>
        <w:tc>
          <w:tcPr>
            <w:tcW w:w="4261" w:type="dxa"/>
          </w:tcPr>
          <w:p w14:paraId="0AF24879">
            <w:pPr>
              <w:rPr>
                <w:rFonts w:hint="eastAsia"/>
                <w:vertAlign w:val="baseline"/>
                <w:lang w:val="en-US" w:eastAsia="zh-CN"/>
              </w:rPr>
            </w:pPr>
            <w:r>
              <w:rPr>
                <w:rFonts w:hint="eastAsia"/>
                <w:vertAlign w:val="baseline"/>
                <w:lang w:val="en-US" w:eastAsia="zh-CN"/>
              </w:rPr>
              <w:t>如左图所示，如果当前角色穿戴了武器装备，且祝福功能已经开启，则点击NPC后直接显示对应武器的祝福操作界面：</w:t>
            </w:r>
          </w:p>
          <w:p w14:paraId="05F502D0">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界面上需要显示武器的名称，字体颜色同其品质颜色。</w:t>
            </w:r>
          </w:p>
          <w:p w14:paraId="7827B8B8">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其中幸运符和保底符两个物品的勾选框支持两者都勾选，默认都不勾选。</w:t>
            </w:r>
          </w:p>
          <w:p w14:paraId="16F7AAFB">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自动祝福的操作同升星。</w:t>
            </w:r>
          </w:p>
        </w:tc>
      </w:tr>
      <w:tr w14:paraId="3A72A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941FAB2">
            <w:pPr>
              <w:rPr>
                <w:rFonts w:hint="default"/>
                <w:vertAlign w:val="baseline"/>
                <w:lang w:val="en-US" w:eastAsia="zh-CN"/>
              </w:rPr>
            </w:pPr>
            <w:r>
              <w:drawing>
                <wp:inline distT="0" distB="0" distL="114300" distR="114300">
                  <wp:extent cx="2490470" cy="1431925"/>
                  <wp:effectExtent l="0" t="0" r="50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490470" cy="1431925"/>
                          </a:xfrm>
                          <a:prstGeom prst="rect">
                            <a:avLst/>
                          </a:prstGeom>
                          <a:noFill/>
                          <a:ln>
                            <a:noFill/>
                          </a:ln>
                        </pic:spPr>
                      </pic:pic>
                    </a:graphicData>
                  </a:graphic>
                </wp:inline>
              </w:drawing>
            </w:r>
          </w:p>
        </w:tc>
        <w:tc>
          <w:tcPr>
            <w:tcW w:w="4261" w:type="dxa"/>
          </w:tcPr>
          <w:p w14:paraId="108337B8">
            <w:pPr>
              <w:rPr>
                <w:rFonts w:hint="eastAsia"/>
                <w:vertAlign w:val="baseline"/>
                <w:lang w:val="en-US" w:eastAsia="zh-CN"/>
              </w:rPr>
            </w:pPr>
            <w:r>
              <w:rPr>
                <w:rFonts w:hint="eastAsia"/>
                <w:vertAlign w:val="baseline"/>
                <w:lang w:val="en-US" w:eastAsia="zh-CN"/>
              </w:rPr>
              <w:t>如左图所示，为点击自动祝福之后的界面状态：</w:t>
            </w:r>
          </w:p>
          <w:p w14:paraId="734A3500">
            <w:pPr>
              <w:numPr>
                <w:ilvl w:val="0"/>
                <w:numId w:val="19"/>
              </w:numPr>
              <w:ind w:left="425" w:leftChars="0" w:hanging="425" w:firstLineChars="0"/>
              <w:rPr>
                <w:rFonts w:hint="default"/>
                <w:vertAlign w:val="baseline"/>
                <w:lang w:val="en-US" w:eastAsia="zh-CN"/>
              </w:rPr>
            </w:pPr>
            <w:r>
              <w:rPr>
                <w:rFonts w:hint="eastAsia"/>
                <w:vertAlign w:val="baseline"/>
                <w:lang w:val="en-US" w:eastAsia="zh-CN"/>
              </w:rPr>
              <w:t>此状态下，点击停止自动、关闭按钮、均会停止自动祝福的状态。</w:t>
            </w:r>
          </w:p>
          <w:p w14:paraId="6E8D605B">
            <w:pPr>
              <w:numPr>
                <w:ilvl w:val="0"/>
                <w:numId w:val="19"/>
              </w:numPr>
              <w:ind w:left="425" w:leftChars="0" w:hanging="425" w:firstLineChars="0"/>
              <w:rPr>
                <w:rFonts w:hint="default"/>
                <w:vertAlign w:val="baseline"/>
                <w:lang w:val="en-US" w:eastAsia="zh-CN"/>
              </w:rPr>
            </w:pPr>
            <w:r>
              <w:rPr>
                <w:rFonts w:hint="eastAsia"/>
                <w:vertAlign w:val="baseline"/>
                <w:lang w:val="en-US" w:eastAsia="zh-CN"/>
              </w:rPr>
              <w:t>点击关闭按钮会直接关闭当前对话框。</w:t>
            </w:r>
          </w:p>
        </w:tc>
      </w:tr>
      <w:tr w14:paraId="64AC5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F128536">
            <w:pPr>
              <w:rPr>
                <w:rFonts w:hint="default"/>
                <w:vertAlign w:val="baseline"/>
                <w:lang w:val="en-US" w:eastAsia="zh-CN"/>
              </w:rPr>
            </w:pPr>
            <w:r>
              <w:drawing>
                <wp:inline distT="0" distB="0" distL="114300" distR="114300">
                  <wp:extent cx="2589530" cy="1489075"/>
                  <wp:effectExtent l="0" t="0" r="127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2589530" cy="1489075"/>
                          </a:xfrm>
                          <a:prstGeom prst="rect">
                            <a:avLst/>
                          </a:prstGeom>
                          <a:noFill/>
                          <a:ln>
                            <a:noFill/>
                          </a:ln>
                        </pic:spPr>
                      </pic:pic>
                    </a:graphicData>
                  </a:graphic>
                </wp:inline>
              </w:drawing>
            </w:r>
          </w:p>
        </w:tc>
        <w:tc>
          <w:tcPr>
            <w:tcW w:w="4261" w:type="dxa"/>
          </w:tcPr>
          <w:p w14:paraId="295461CA">
            <w:pPr>
              <w:rPr>
                <w:rFonts w:hint="default"/>
                <w:vertAlign w:val="baseline"/>
                <w:lang w:val="en-US" w:eastAsia="zh-CN"/>
              </w:rPr>
            </w:pPr>
            <w:r>
              <w:rPr>
                <w:rFonts w:hint="eastAsia"/>
                <w:vertAlign w:val="baseline"/>
                <w:lang w:val="en-US" w:eastAsia="zh-CN"/>
              </w:rPr>
              <w:t>如左图所示，如果当前穿戴的武器已经达到了最高祝福等级，则操作按钮位置需要更换为文字显示：已达到最高祝福等级。</w:t>
            </w:r>
          </w:p>
        </w:tc>
      </w:tr>
    </w:tbl>
    <w:p w14:paraId="0E7E689E">
      <w:pPr>
        <w:pStyle w:val="3"/>
        <w:numPr>
          <w:ilvl w:val="0"/>
          <w:numId w:val="1"/>
        </w:numPr>
        <w:bidi w:val="0"/>
        <w:outlineLvl w:val="0"/>
        <w:rPr>
          <w:rFonts w:hint="default"/>
          <w:lang w:val="en-US" w:eastAsia="zh-CN"/>
        </w:rPr>
      </w:pPr>
      <w:bookmarkStart w:id="8" w:name="_Toc14703"/>
      <w:r>
        <w:rPr>
          <w:rFonts w:hint="eastAsia"/>
          <w:lang w:val="en-US" w:eastAsia="zh-CN"/>
        </w:rPr>
        <w:t>流程图</w:t>
      </w:r>
      <w:bookmarkEnd w:id="8"/>
    </w:p>
    <w:p w14:paraId="3166823B">
      <w:pPr>
        <w:pStyle w:val="4"/>
        <w:bidi w:val="0"/>
        <w:outlineLvl w:val="1"/>
        <w:rPr>
          <w:rFonts w:hint="eastAsia"/>
          <w:lang w:val="en-US" w:eastAsia="zh-CN"/>
        </w:rPr>
      </w:pPr>
      <w:bookmarkStart w:id="9" w:name="_Toc6669"/>
      <w:r>
        <w:rPr>
          <w:rFonts w:hint="eastAsia"/>
          <w:lang w:val="en-US" w:eastAsia="zh-CN"/>
        </w:rPr>
        <w:t>4.1 强化操作流程图</w:t>
      </w:r>
      <w:bookmarkEnd w:id="9"/>
    </w:p>
    <w:p w14:paraId="38E4C3F1">
      <w:r>
        <w:drawing>
          <wp:inline distT="0" distB="0" distL="114300" distR="114300">
            <wp:extent cx="3441700" cy="559308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41700" cy="5593080"/>
                    </a:xfrm>
                    <a:prstGeom prst="rect">
                      <a:avLst/>
                    </a:prstGeom>
                    <a:noFill/>
                    <a:ln>
                      <a:noFill/>
                    </a:ln>
                  </pic:spPr>
                </pic:pic>
              </a:graphicData>
            </a:graphic>
          </wp:inline>
        </w:drawing>
      </w:r>
    </w:p>
    <w:p w14:paraId="163BA9AD">
      <w:pPr>
        <w:pStyle w:val="4"/>
        <w:bidi w:val="0"/>
        <w:outlineLvl w:val="1"/>
        <w:rPr>
          <w:rFonts w:hint="eastAsia"/>
          <w:lang w:val="en-US" w:eastAsia="zh-CN"/>
        </w:rPr>
      </w:pPr>
      <w:bookmarkStart w:id="10" w:name="_Toc17254"/>
      <w:r>
        <w:rPr>
          <w:rFonts w:hint="eastAsia"/>
          <w:lang w:val="en-US" w:eastAsia="zh-CN"/>
        </w:rPr>
        <w:t>4.2 升星操作流程图</w:t>
      </w:r>
      <w:bookmarkEnd w:id="10"/>
    </w:p>
    <w:p w14:paraId="46ACBB21">
      <w:pPr>
        <w:rPr>
          <w:rFonts w:hint="eastAsia"/>
          <w:lang w:val="en-US" w:eastAsia="zh-CN"/>
        </w:rPr>
      </w:pPr>
      <w:r>
        <w:drawing>
          <wp:inline distT="0" distB="0" distL="114300" distR="114300">
            <wp:extent cx="3512185" cy="5069205"/>
            <wp:effectExtent l="0" t="0" r="12065" b="171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512185" cy="5069205"/>
                    </a:xfrm>
                    <a:prstGeom prst="rect">
                      <a:avLst/>
                    </a:prstGeom>
                    <a:noFill/>
                    <a:ln>
                      <a:noFill/>
                    </a:ln>
                  </pic:spPr>
                </pic:pic>
              </a:graphicData>
            </a:graphic>
          </wp:inline>
        </w:drawing>
      </w:r>
    </w:p>
    <w:p w14:paraId="45949129">
      <w:pPr>
        <w:pStyle w:val="4"/>
        <w:bidi w:val="0"/>
        <w:outlineLvl w:val="1"/>
        <w:rPr>
          <w:rFonts w:hint="eastAsia"/>
          <w:lang w:val="en-US" w:eastAsia="zh-CN"/>
        </w:rPr>
      </w:pPr>
      <w:bookmarkStart w:id="11" w:name="_Toc31150"/>
      <w:r>
        <w:rPr>
          <w:rFonts w:hint="eastAsia"/>
          <w:lang w:val="en-US" w:eastAsia="zh-CN"/>
        </w:rPr>
        <w:t>4.3 洗炼操作流程图</w:t>
      </w:r>
      <w:bookmarkEnd w:id="11"/>
    </w:p>
    <w:p w14:paraId="55C8B651">
      <w:pPr>
        <w:rPr>
          <w:rFonts w:hint="eastAsia"/>
          <w:lang w:val="en-US" w:eastAsia="zh-CN"/>
        </w:rPr>
      </w:pPr>
      <w:r>
        <w:drawing>
          <wp:inline distT="0" distB="0" distL="114300" distR="114300">
            <wp:extent cx="3235325" cy="6162675"/>
            <wp:effectExtent l="0" t="0" r="317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3235325" cy="6162675"/>
                    </a:xfrm>
                    <a:prstGeom prst="rect">
                      <a:avLst/>
                    </a:prstGeom>
                    <a:noFill/>
                    <a:ln>
                      <a:noFill/>
                    </a:ln>
                  </pic:spPr>
                </pic:pic>
              </a:graphicData>
            </a:graphic>
          </wp:inline>
        </w:drawing>
      </w:r>
    </w:p>
    <w:p w14:paraId="319C8BD0">
      <w:pPr>
        <w:pStyle w:val="4"/>
        <w:bidi w:val="0"/>
        <w:outlineLvl w:val="1"/>
        <w:rPr>
          <w:rFonts w:hint="eastAsia"/>
          <w:lang w:val="en-US" w:eastAsia="zh-CN"/>
        </w:rPr>
      </w:pPr>
      <w:bookmarkStart w:id="12" w:name="_Toc17420"/>
      <w:r>
        <w:rPr>
          <w:rFonts w:hint="eastAsia"/>
          <w:lang w:val="en-US" w:eastAsia="zh-CN"/>
        </w:rPr>
        <w:t>4.4 祝福操作流程图</w:t>
      </w:r>
      <w:bookmarkEnd w:id="12"/>
    </w:p>
    <w:p w14:paraId="42C8B4DB">
      <w:pPr>
        <w:rPr>
          <w:rFonts w:hint="eastAsia"/>
          <w:lang w:val="en-US" w:eastAsia="zh-CN"/>
        </w:rPr>
      </w:pPr>
      <w:r>
        <w:drawing>
          <wp:inline distT="0" distB="0" distL="114300" distR="114300">
            <wp:extent cx="4043680" cy="4192270"/>
            <wp:effectExtent l="0" t="0" r="1397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043680" cy="4192270"/>
                    </a:xfrm>
                    <a:prstGeom prst="rect">
                      <a:avLst/>
                    </a:prstGeom>
                    <a:noFill/>
                    <a:ln>
                      <a:noFill/>
                    </a:ln>
                  </pic:spPr>
                </pic:pic>
              </a:graphicData>
            </a:graphic>
          </wp:inline>
        </w:drawing>
      </w:r>
    </w:p>
    <w:p w14:paraId="35724282">
      <w:pPr>
        <w:rPr>
          <w:rFonts w:hint="eastAsia"/>
          <w:lang w:val="en-US" w:eastAsia="zh-CN"/>
        </w:rPr>
      </w:pPr>
    </w:p>
    <w:p w14:paraId="6ACE0487">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E0C26C"/>
    <w:multiLevelType w:val="singleLevel"/>
    <w:tmpl w:val="92E0C26C"/>
    <w:lvl w:ilvl="0" w:tentative="0">
      <w:start w:val="1"/>
      <w:numFmt w:val="decimal"/>
      <w:lvlText w:val="%1."/>
      <w:lvlJc w:val="left"/>
      <w:pPr>
        <w:ind w:left="425" w:hanging="425"/>
      </w:pPr>
      <w:rPr>
        <w:rFonts w:hint="default"/>
      </w:rPr>
    </w:lvl>
  </w:abstractNum>
  <w:abstractNum w:abstractNumId="1">
    <w:nsid w:val="9A861F18"/>
    <w:multiLevelType w:val="singleLevel"/>
    <w:tmpl w:val="9A861F18"/>
    <w:lvl w:ilvl="0" w:tentative="0">
      <w:start w:val="1"/>
      <w:numFmt w:val="decimal"/>
      <w:lvlText w:val="%1."/>
      <w:lvlJc w:val="left"/>
      <w:pPr>
        <w:ind w:left="425" w:hanging="425"/>
      </w:pPr>
      <w:rPr>
        <w:rFonts w:hint="default"/>
      </w:rPr>
    </w:lvl>
  </w:abstractNum>
  <w:abstractNum w:abstractNumId="2">
    <w:nsid w:val="9EF35D6A"/>
    <w:multiLevelType w:val="singleLevel"/>
    <w:tmpl w:val="9EF35D6A"/>
    <w:lvl w:ilvl="0" w:tentative="0">
      <w:start w:val="1"/>
      <w:numFmt w:val="decimal"/>
      <w:lvlText w:val="%1."/>
      <w:lvlJc w:val="left"/>
      <w:pPr>
        <w:ind w:left="425" w:hanging="425"/>
      </w:pPr>
      <w:rPr>
        <w:rFonts w:hint="default"/>
      </w:rPr>
    </w:lvl>
  </w:abstractNum>
  <w:abstractNum w:abstractNumId="3">
    <w:nsid w:val="BC21C6E8"/>
    <w:multiLevelType w:val="singleLevel"/>
    <w:tmpl w:val="BC21C6E8"/>
    <w:lvl w:ilvl="0" w:tentative="0">
      <w:start w:val="1"/>
      <w:numFmt w:val="decimal"/>
      <w:lvlText w:val="%1."/>
      <w:lvlJc w:val="left"/>
      <w:pPr>
        <w:ind w:left="425" w:hanging="425"/>
      </w:pPr>
      <w:rPr>
        <w:rFonts w:hint="default"/>
      </w:rPr>
    </w:lvl>
  </w:abstractNum>
  <w:abstractNum w:abstractNumId="4">
    <w:nsid w:val="BC2613D4"/>
    <w:multiLevelType w:val="singleLevel"/>
    <w:tmpl w:val="BC2613D4"/>
    <w:lvl w:ilvl="0" w:tentative="0">
      <w:start w:val="1"/>
      <w:numFmt w:val="decimal"/>
      <w:lvlText w:val="%1."/>
      <w:lvlJc w:val="left"/>
      <w:pPr>
        <w:ind w:left="425" w:hanging="425"/>
      </w:pPr>
      <w:rPr>
        <w:rFonts w:hint="default"/>
      </w:rPr>
    </w:lvl>
  </w:abstractNum>
  <w:abstractNum w:abstractNumId="5">
    <w:nsid w:val="C6C5F858"/>
    <w:multiLevelType w:val="singleLevel"/>
    <w:tmpl w:val="C6C5F858"/>
    <w:lvl w:ilvl="0" w:tentative="0">
      <w:start w:val="1"/>
      <w:numFmt w:val="decimal"/>
      <w:lvlText w:val="%1."/>
      <w:lvlJc w:val="left"/>
      <w:pPr>
        <w:ind w:left="425" w:hanging="425"/>
      </w:pPr>
      <w:rPr>
        <w:rFonts w:hint="default"/>
      </w:rPr>
    </w:lvl>
  </w:abstractNum>
  <w:abstractNum w:abstractNumId="6">
    <w:nsid w:val="C99B10DE"/>
    <w:multiLevelType w:val="singleLevel"/>
    <w:tmpl w:val="C99B10DE"/>
    <w:lvl w:ilvl="0" w:tentative="0">
      <w:start w:val="1"/>
      <w:numFmt w:val="decimal"/>
      <w:lvlText w:val="%1."/>
      <w:lvlJc w:val="left"/>
      <w:pPr>
        <w:ind w:left="425" w:hanging="425"/>
      </w:pPr>
      <w:rPr>
        <w:rFonts w:hint="default"/>
      </w:rPr>
    </w:lvl>
  </w:abstractNum>
  <w:abstractNum w:abstractNumId="7">
    <w:nsid w:val="CC5766B4"/>
    <w:multiLevelType w:val="singleLevel"/>
    <w:tmpl w:val="CC5766B4"/>
    <w:lvl w:ilvl="0" w:tentative="0">
      <w:start w:val="1"/>
      <w:numFmt w:val="decimal"/>
      <w:lvlText w:val="%1."/>
      <w:lvlJc w:val="left"/>
      <w:pPr>
        <w:ind w:left="425" w:hanging="425"/>
      </w:pPr>
      <w:rPr>
        <w:rFonts w:hint="default"/>
      </w:rPr>
    </w:lvl>
  </w:abstractNum>
  <w:abstractNum w:abstractNumId="8">
    <w:nsid w:val="CE1F4096"/>
    <w:multiLevelType w:val="singleLevel"/>
    <w:tmpl w:val="CE1F4096"/>
    <w:lvl w:ilvl="0" w:tentative="0">
      <w:start w:val="1"/>
      <w:numFmt w:val="decimal"/>
      <w:lvlText w:val="%1."/>
      <w:lvlJc w:val="left"/>
      <w:pPr>
        <w:ind w:left="425" w:hanging="425"/>
      </w:pPr>
      <w:rPr>
        <w:rFonts w:hint="default"/>
      </w:rPr>
    </w:lvl>
  </w:abstractNum>
  <w:abstractNum w:abstractNumId="9">
    <w:nsid w:val="EA985434"/>
    <w:multiLevelType w:val="singleLevel"/>
    <w:tmpl w:val="EA985434"/>
    <w:lvl w:ilvl="0" w:tentative="0">
      <w:start w:val="1"/>
      <w:numFmt w:val="decimal"/>
      <w:lvlText w:val="%1."/>
      <w:lvlJc w:val="left"/>
      <w:pPr>
        <w:ind w:left="425" w:hanging="425"/>
      </w:pPr>
      <w:rPr>
        <w:rFonts w:hint="default"/>
      </w:rPr>
    </w:lvl>
  </w:abstractNum>
  <w:abstractNum w:abstractNumId="10">
    <w:nsid w:val="EC03AE7B"/>
    <w:multiLevelType w:val="singleLevel"/>
    <w:tmpl w:val="EC03AE7B"/>
    <w:lvl w:ilvl="0" w:tentative="0">
      <w:start w:val="1"/>
      <w:numFmt w:val="decimal"/>
      <w:lvlText w:val="%1."/>
      <w:lvlJc w:val="left"/>
      <w:pPr>
        <w:ind w:left="425" w:hanging="425"/>
      </w:pPr>
      <w:rPr>
        <w:rFonts w:hint="default"/>
      </w:rPr>
    </w:lvl>
  </w:abstractNum>
  <w:abstractNum w:abstractNumId="11">
    <w:nsid w:val="F15D566B"/>
    <w:multiLevelType w:val="singleLevel"/>
    <w:tmpl w:val="F15D566B"/>
    <w:lvl w:ilvl="0" w:tentative="0">
      <w:start w:val="1"/>
      <w:numFmt w:val="decimal"/>
      <w:lvlText w:val="%1."/>
      <w:lvlJc w:val="left"/>
      <w:pPr>
        <w:ind w:left="425" w:hanging="425"/>
      </w:pPr>
      <w:rPr>
        <w:rFonts w:hint="default"/>
      </w:rPr>
    </w:lvl>
  </w:abstractNum>
  <w:abstractNum w:abstractNumId="12">
    <w:nsid w:val="0861965A"/>
    <w:multiLevelType w:val="singleLevel"/>
    <w:tmpl w:val="0861965A"/>
    <w:lvl w:ilvl="0" w:tentative="0">
      <w:start w:val="1"/>
      <w:numFmt w:val="decimal"/>
      <w:lvlText w:val="%1."/>
      <w:lvlJc w:val="left"/>
      <w:pPr>
        <w:ind w:left="425" w:hanging="425"/>
      </w:pPr>
      <w:rPr>
        <w:rFonts w:hint="default"/>
      </w:rPr>
    </w:lvl>
  </w:abstractNum>
  <w:abstractNum w:abstractNumId="13">
    <w:nsid w:val="3517BF41"/>
    <w:multiLevelType w:val="singleLevel"/>
    <w:tmpl w:val="3517BF41"/>
    <w:lvl w:ilvl="0" w:tentative="0">
      <w:start w:val="1"/>
      <w:numFmt w:val="chineseCounting"/>
      <w:suff w:val="nothing"/>
      <w:lvlText w:val="%1、"/>
      <w:lvlJc w:val="left"/>
      <w:pPr>
        <w:ind w:left="0" w:firstLine="420"/>
      </w:pPr>
      <w:rPr>
        <w:rFonts w:hint="eastAsia"/>
      </w:rPr>
    </w:lvl>
  </w:abstractNum>
  <w:abstractNum w:abstractNumId="14">
    <w:nsid w:val="3F135A0F"/>
    <w:multiLevelType w:val="singleLevel"/>
    <w:tmpl w:val="3F135A0F"/>
    <w:lvl w:ilvl="0" w:tentative="0">
      <w:start w:val="1"/>
      <w:numFmt w:val="decimal"/>
      <w:lvlText w:val="%1."/>
      <w:lvlJc w:val="left"/>
      <w:pPr>
        <w:ind w:left="425" w:hanging="425"/>
      </w:pPr>
      <w:rPr>
        <w:rFonts w:hint="default"/>
      </w:rPr>
    </w:lvl>
  </w:abstractNum>
  <w:abstractNum w:abstractNumId="15">
    <w:nsid w:val="54DBB0A0"/>
    <w:multiLevelType w:val="singleLevel"/>
    <w:tmpl w:val="54DBB0A0"/>
    <w:lvl w:ilvl="0" w:tentative="0">
      <w:start w:val="1"/>
      <w:numFmt w:val="decimal"/>
      <w:lvlText w:val="%1."/>
      <w:lvlJc w:val="left"/>
      <w:pPr>
        <w:ind w:left="425" w:hanging="425"/>
      </w:pPr>
      <w:rPr>
        <w:rFonts w:hint="default"/>
      </w:rPr>
    </w:lvl>
  </w:abstractNum>
  <w:abstractNum w:abstractNumId="16">
    <w:nsid w:val="571B587B"/>
    <w:multiLevelType w:val="singleLevel"/>
    <w:tmpl w:val="571B587B"/>
    <w:lvl w:ilvl="0" w:tentative="0">
      <w:start w:val="1"/>
      <w:numFmt w:val="decimal"/>
      <w:lvlText w:val="%1."/>
      <w:lvlJc w:val="left"/>
      <w:pPr>
        <w:ind w:left="425" w:hanging="425"/>
      </w:pPr>
      <w:rPr>
        <w:rFonts w:hint="default"/>
      </w:rPr>
    </w:lvl>
  </w:abstractNum>
  <w:abstractNum w:abstractNumId="17">
    <w:nsid w:val="69BEED2D"/>
    <w:multiLevelType w:val="singleLevel"/>
    <w:tmpl w:val="69BEED2D"/>
    <w:lvl w:ilvl="0" w:tentative="0">
      <w:start w:val="1"/>
      <w:numFmt w:val="decimal"/>
      <w:lvlText w:val="%1."/>
      <w:lvlJc w:val="left"/>
      <w:pPr>
        <w:ind w:left="425" w:hanging="425"/>
      </w:pPr>
      <w:rPr>
        <w:rFonts w:hint="default"/>
      </w:rPr>
    </w:lvl>
  </w:abstractNum>
  <w:abstractNum w:abstractNumId="18">
    <w:nsid w:val="760E79EE"/>
    <w:multiLevelType w:val="singleLevel"/>
    <w:tmpl w:val="760E79EE"/>
    <w:lvl w:ilvl="0" w:tentative="0">
      <w:start w:val="1"/>
      <w:numFmt w:val="decimal"/>
      <w:lvlText w:val="%1."/>
      <w:lvlJc w:val="left"/>
      <w:pPr>
        <w:ind w:left="425" w:hanging="425"/>
      </w:pPr>
      <w:rPr>
        <w:rFonts w:hint="default"/>
      </w:rPr>
    </w:lvl>
  </w:abstractNum>
  <w:num w:numId="1">
    <w:abstractNumId w:val="13"/>
  </w:num>
  <w:num w:numId="2">
    <w:abstractNumId w:val="8"/>
  </w:num>
  <w:num w:numId="3">
    <w:abstractNumId w:val="15"/>
  </w:num>
  <w:num w:numId="4">
    <w:abstractNumId w:val="1"/>
  </w:num>
  <w:num w:numId="5">
    <w:abstractNumId w:val="6"/>
  </w:num>
  <w:num w:numId="6">
    <w:abstractNumId w:val="2"/>
  </w:num>
  <w:num w:numId="7">
    <w:abstractNumId w:val="3"/>
  </w:num>
  <w:num w:numId="8">
    <w:abstractNumId w:val="9"/>
  </w:num>
  <w:num w:numId="9">
    <w:abstractNumId w:val="7"/>
  </w:num>
  <w:num w:numId="10">
    <w:abstractNumId w:val="5"/>
  </w:num>
  <w:num w:numId="11">
    <w:abstractNumId w:val="14"/>
  </w:num>
  <w:num w:numId="12">
    <w:abstractNumId w:val="17"/>
  </w:num>
  <w:num w:numId="13">
    <w:abstractNumId w:val="12"/>
  </w:num>
  <w:num w:numId="14">
    <w:abstractNumId w:val="0"/>
  </w:num>
  <w:num w:numId="15">
    <w:abstractNumId w:val="11"/>
  </w:num>
  <w:num w:numId="16">
    <w:abstractNumId w:val="16"/>
  </w:num>
  <w:num w:numId="17">
    <w:abstractNumId w:val="4"/>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gyOTgxYTc4MmViZDhjZTNkMjQ3MTQzM2MwOTdjYjQifQ=="/>
  </w:docVars>
  <w:rsids>
    <w:rsidRoot w:val="00000000"/>
    <w:rsid w:val="02592F8C"/>
    <w:rsid w:val="0F711E78"/>
    <w:rsid w:val="16D317D4"/>
    <w:rsid w:val="1B0A288F"/>
    <w:rsid w:val="1BC818AD"/>
    <w:rsid w:val="1DCA2E80"/>
    <w:rsid w:val="207E6B1C"/>
    <w:rsid w:val="208E288A"/>
    <w:rsid w:val="24CD5556"/>
    <w:rsid w:val="275A1B01"/>
    <w:rsid w:val="288B3B53"/>
    <w:rsid w:val="3213367E"/>
    <w:rsid w:val="36A07D1D"/>
    <w:rsid w:val="37EB343F"/>
    <w:rsid w:val="40FE3F56"/>
    <w:rsid w:val="41102B37"/>
    <w:rsid w:val="42FA52FE"/>
    <w:rsid w:val="46AA174E"/>
    <w:rsid w:val="4AA946AA"/>
    <w:rsid w:val="4C6D2811"/>
    <w:rsid w:val="5965181B"/>
    <w:rsid w:val="5EB6477F"/>
    <w:rsid w:val="6287090C"/>
    <w:rsid w:val="6A615D69"/>
    <w:rsid w:val="6A694D9B"/>
    <w:rsid w:val="70E578CF"/>
    <w:rsid w:val="7EE90092"/>
    <w:rsid w:val="7FFA6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WPSOffice手动目录 1"/>
    <w:uiPriority w:val="0"/>
    <w:pPr>
      <w:ind w:leftChars="0"/>
    </w:pPr>
    <w:rPr>
      <w:sz w:val="20"/>
      <w:szCs w:val="20"/>
    </w:rPr>
  </w:style>
  <w:style w:type="paragraph" w:customStyle="1" w:styleId="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2024-10-29T03:41:50Z</dcterms:created>
  <dc:creator>46646</dc:creator>
  <cp:lastModifiedBy>企业用户_255442825</cp:lastModifiedBy>
  <dcterms:modified xsi:type="dcterms:W3CDTF">2024-10-29T07:13:44Z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B1651B46D5D145F395E54EACFE468494_12</vt:lpwstr>
  </property>
</Properties>
</file>