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391A74">
      <w:pPr>
        <w:pStyle w:val="2"/>
        <w:bidi w:val="0"/>
        <w:jc w:val="center"/>
        <w:rPr>
          <w:rFonts w:hint="eastAsia"/>
          <w:lang w:val="en-US" w:eastAsia="zh-CN"/>
        </w:rPr>
      </w:pPr>
      <w:bookmarkStart w:id="0" w:name="_Toc15064"/>
      <w:r>
        <w:rPr>
          <w:rFonts w:hint="eastAsia"/>
          <w:lang w:val="en-US" w:eastAsia="zh-CN"/>
        </w:rPr>
        <w:t>灵珠系统与灵珠副本</w:t>
      </w:r>
      <w:bookmarkEnd w:id="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54"/>
        <w:gridCol w:w="1359"/>
        <w:gridCol w:w="5620"/>
        <w:gridCol w:w="789"/>
      </w:tblGrid>
      <w:tr w14:paraId="74A0B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4" w:type="dxa"/>
            <w:tcBorders>
              <w:top w:val="single" w:color="4874CB" w:sz="12" w:space="0"/>
              <w:left w:val="nil"/>
              <w:bottom w:val="single" w:color="4874CB" w:sz="4" w:space="0"/>
              <w:right w:val="nil"/>
              <w:tl2br w:val="nil"/>
            </w:tcBorders>
            <w:shd w:val="clear" w:color="auto" w:fill="FFFFFF"/>
          </w:tcPr>
          <w:p w14:paraId="7C156B03">
            <w:pPr>
              <w:rPr>
                <w:rFonts w:hint="default"/>
                <w:b w:val="0"/>
                <w:color w:val="000000"/>
                <w:vertAlign w:val="baseline"/>
                <w:lang w:val="en-US" w:eastAsia="zh-CN"/>
              </w:rPr>
            </w:pPr>
            <w:r>
              <w:rPr>
                <w:rFonts w:hint="eastAsia"/>
                <w:b w:val="0"/>
                <w:color w:val="000000"/>
                <w:vertAlign w:val="baseline"/>
                <w:lang w:val="en-US" w:eastAsia="zh-CN"/>
              </w:rPr>
              <w:t>编号</w:t>
            </w:r>
          </w:p>
        </w:tc>
        <w:tc>
          <w:tcPr>
            <w:tcW w:w="1359" w:type="dxa"/>
            <w:tcBorders>
              <w:top w:val="single" w:color="4874CB" w:sz="12" w:space="0"/>
              <w:left w:val="nil"/>
              <w:bottom w:val="single" w:color="4874CB" w:sz="4" w:space="0"/>
              <w:right w:val="nil"/>
            </w:tcBorders>
            <w:shd w:val="clear" w:color="auto" w:fill="FFFFFF"/>
          </w:tcPr>
          <w:p w14:paraId="16AE8ECA">
            <w:pPr>
              <w:rPr>
                <w:rFonts w:hint="default"/>
                <w:b w:val="0"/>
                <w:color w:val="000000"/>
                <w:vertAlign w:val="baseline"/>
                <w:lang w:val="en-US" w:eastAsia="zh-CN"/>
              </w:rPr>
            </w:pPr>
            <w:r>
              <w:rPr>
                <w:rFonts w:hint="eastAsia"/>
                <w:b w:val="0"/>
                <w:color w:val="000000"/>
                <w:vertAlign w:val="baseline"/>
                <w:lang w:val="en-US" w:eastAsia="zh-CN"/>
              </w:rPr>
              <w:t>日期</w:t>
            </w:r>
          </w:p>
        </w:tc>
        <w:tc>
          <w:tcPr>
            <w:tcW w:w="5620" w:type="dxa"/>
            <w:tcBorders>
              <w:top w:val="single" w:color="4874CB" w:sz="12" w:space="0"/>
              <w:left w:val="nil"/>
              <w:bottom w:val="single" w:color="4874CB" w:sz="4" w:space="0"/>
              <w:right w:val="nil"/>
            </w:tcBorders>
            <w:shd w:val="clear" w:color="auto" w:fill="FFFFFF"/>
          </w:tcPr>
          <w:p w14:paraId="7ECC22E8">
            <w:pPr>
              <w:rPr>
                <w:rFonts w:hint="default"/>
                <w:b w:val="0"/>
                <w:color w:val="000000"/>
                <w:vertAlign w:val="baseline"/>
                <w:lang w:val="en-US" w:eastAsia="zh-CN"/>
              </w:rPr>
            </w:pPr>
            <w:r>
              <w:rPr>
                <w:rFonts w:hint="eastAsia"/>
                <w:b w:val="0"/>
                <w:color w:val="000000"/>
                <w:vertAlign w:val="baseline"/>
                <w:lang w:val="en-US" w:eastAsia="zh-CN"/>
              </w:rPr>
              <w:t>内容</w:t>
            </w:r>
          </w:p>
        </w:tc>
        <w:tc>
          <w:tcPr>
            <w:tcW w:w="789" w:type="dxa"/>
            <w:tcBorders>
              <w:top w:val="single" w:color="4874CB" w:sz="12" w:space="0"/>
              <w:left w:val="nil"/>
              <w:bottom w:val="single" w:color="4874CB" w:sz="4" w:space="0"/>
              <w:right w:val="nil"/>
            </w:tcBorders>
            <w:shd w:val="clear" w:color="auto" w:fill="FFFFFF"/>
          </w:tcPr>
          <w:p w14:paraId="4581D59E">
            <w:pPr>
              <w:rPr>
                <w:rFonts w:hint="default"/>
                <w:b w:val="0"/>
                <w:color w:val="000000"/>
                <w:vertAlign w:val="baseline"/>
                <w:lang w:val="en-US" w:eastAsia="zh-CN"/>
              </w:rPr>
            </w:pPr>
            <w:r>
              <w:rPr>
                <w:rFonts w:hint="eastAsia"/>
                <w:b w:val="0"/>
                <w:color w:val="000000"/>
                <w:vertAlign w:val="baseline"/>
                <w:lang w:val="en-US" w:eastAsia="zh-CN"/>
              </w:rPr>
              <w:t>作者</w:t>
            </w:r>
          </w:p>
        </w:tc>
      </w:tr>
      <w:tr w14:paraId="7C0C2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4" w:type="dxa"/>
            <w:tcBorders>
              <w:top w:val="single" w:color="4874CB" w:sz="4" w:space="0"/>
              <w:left w:val="nil"/>
              <w:bottom w:val="nil"/>
              <w:right w:val="nil"/>
            </w:tcBorders>
            <w:shd w:val="clear" w:color="auto" w:fill="FFFFFF"/>
          </w:tcPr>
          <w:p w14:paraId="3730FCAB">
            <w:pPr>
              <w:rPr>
                <w:rFonts w:hint="default"/>
                <w:b w:val="0"/>
                <w:color w:val="000000"/>
                <w:vertAlign w:val="baseline"/>
                <w:lang w:val="en-US" w:eastAsia="zh-CN"/>
              </w:rPr>
            </w:pPr>
            <w:r>
              <w:rPr>
                <w:rFonts w:hint="eastAsia"/>
                <w:b w:val="0"/>
                <w:color w:val="000000"/>
                <w:vertAlign w:val="baseline"/>
                <w:lang w:val="en-US" w:eastAsia="zh-CN"/>
              </w:rPr>
              <w:t>1.0</w:t>
            </w:r>
          </w:p>
        </w:tc>
        <w:tc>
          <w:tcPr>
            <w:tcW w:w="1359" w:type="dxa"/>
            <w:tcBorders>
              <w:top w:val="single" w:color="4874CB" w:sz="4" w:space="0"/>
              <w:left w:val="nil"/>
              <w:bottom w:val="nil"/>
              <w:right w:val="nil"/>
            </w:tcBorders>
            <w:shd w:val="clear" w:color="auto" w:fill="FFFFFF"/>
          </w:tcPr>
          <w:p w14:paraId="49CE464F">
            <w:pPr>
              <w:rPr>
                <w:rFonts w:hint="default"/>
                <w:b w:val="0"/>
                <w:color w:val="000000"/>
                <w:vertAlign w:val="baseline"/>
                <w:lang w:val="en-US" w:eastAsia="zh-CN"/>
              </w:rPr>
            </w:pPr>
            <w:r>
              <w:rPr>
                <w:rFonts w:hint="eastAsia"/>
                <w:b w:val="0"/>
                <w:color w:val="000000"/>
                <w:vertAlign w:val="baseline"/>
                <w:lang w:val="en-US" w:eastAsia="zh-CN"/>
              </w:rPr>
              <w:t>2024/11/19</w:t>
            </w:r>
          </w:p>
        </w:tc>
        <w:tc>
          <w:tcPr>
            <w:tcW w:w="5620" w:type="dxa"/>
            <w:tcBorders>
              <w:top w:val="single" w:color="4874CB" w:sz="4" w:space="0"/>
              <w:left w:val="nil"/>
              <w:bottom w:val="nil"/>
              <w:right w:val="nil"/>
            </w:tcBorders>
            <w:shd w:val="clear" w:color="auto" w:fill="FFFFFF"/>
          </w:tcPr>
          <w:p w14:paraId="0FB1A5C1">
            <w:pPr>
              <w:rPr>
                <w:rFonts w:hint="default"/>
                <w:b w:val="0"/>
                <w:color w:val="000000"/>
                <w:vertAlign w:val="baseline"/>
                <w:lang w:val="en-US" w:eastAsia="zh-CN"/>
              </w:rPr>
            </w:pPr>
            <w:r>
              <w:rPr>
                <w:rFonts w:hint="eastAsia"/>
                <w:b w:val="0"/>
                <w:color w:val="000000"/>
                <w:vertAlign w:val="baseline"/>
                <w:lang w:val="en-US" w:eastAsia="zh-CN"/>
              </w:rPr>
              <w:t>设定灵珠系统的玩法规则和灵珠副本的战斗规则</w:t>
            </w:r>
          </w:p>
        </w:tc>
        <w:tc>
          <w:tcPr>
            <w:tcW w:w="789" w:type="dxa"/>
            <w:tcBorders>
              <w:top w:val="single" w:color="4874CB" w:sz="4" w:space="0"/>
              <w:left w:val="nil"/>
              <w:bottom w:val="nil"/>
              <w:right w:val="nil"/>
            </w:tcBorders>
            <w:shd w:val="clear" w:color="auto" w:fill="FFFFFF"/>
          </w:tcPr>
          <w:p w14:paraId="652DDCC7">
            <w:pPr>
              <w:rPr>
                <w:rFonts w:hint="default"/>
                <w:b w:val="0"/>
                <w:color w:val="000000"/>
                <w:vertAlign w:val="baseline"/>
                <w:lang w:val="en-US" w:eastAsia="zh-CN"/>
              </w:rPr>
            </w:pPr>
            <w:r>
              <w:rPr>
                <w:rFonts w:hint="eastAsia"/>
                <w:b w:val="0"/>
                <w:color w:val="000000"/>
                <w:vertAlign w:val="baseline"/>
                <w:lang w:val="en-US" w:eastAsia="zh-CN"/>
              </w:rPr>
              <w:t>MC</w:t>
            </w:r>
          </w:p>
        </w:tc>
      </w:tr>
      <w:tr w14:paraId="580760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4" w:type="dxa"/>
            <w:tcBorders>
              <w:top w:val="nil"/>
              <w:left w:val="nil"/>
              <w:bottom w:val="nil"/>
              <w:right w:val="nil"/>
            </w:tcBorders>
            <w:shd w:val="clear" w:color="auto" w:fill="FFFFFF"/>
          </w:tcPr>
          <w:p w14:paraId="654F0D47">
            <w:pPr>
              <w:rPr>
                <w:rFonts w:hint="default"/>
                <w:b w:val="0"/>
                <w:color w:val="000000"/>
                <w:vertAlign w:val="baseline"/>
                <w:lang w:val="en-US" w:eastAsia="zh-CN"/>
              </w:rPr>
            </w:pPr>
          </w:p>
        </w:tc>
        <w:tc>
          <w:tcPr>
            <w:tcW w:w="1359" w:type="dxa"/>
            <w:tcBorders>
              <w:top w:val="nil"/>
              <w:left w:val="nil"/>
              <w:bottom w:val="nil"/>
              <w:right w:val="nil"/>
            </w:tcBorders>
            <w:shd w:val="clear" w:color="auto" w:fill="FFFFFF"/>
          </w:tcPr>
          <w:p w14:paraId="4FDE7236">
            <w:pPr>
              <w:rPr>
                <w:rFonts w:hint="default"/>
                <w:b w:val="0"/>
                <w:color w:val="000000"/>
                <w:vertAlign w:val="baseline"/>
                <w:lang w:val="en-US" w:eastAsia="zh-CN"/>
              </w:rPr>
            </w:pPr>
          </w:p>
        </w:tc>
        <w:tc>
          <w:tcPr>
            <w:tcW w:w="5620" w:type="dxa"/>
            <w:tcBorders>
              <w:top w:val="nil"/>
              <w:left w:val="nil"/>
              <w:bottom w:val="nil"/>
              <w:right w:val="nil"/>
            </w:tcBorders>
            <w:shd w:val="clear" w:color="auto" w:fill="FFFFFF"/>
          </w:tcPr>
          <w:p w14:paraId="5086A850">
            <w:pPr>
              <w:rPr>
                <w:rFonts w:hint="default"/>
                <w:b w:val="0"/>
                <w:color w:val="000000"/>
                <w:vertAlign w:val="baseline"/>
                <w:lang w:val="en-US" w:eastAsia="zh-CN"/>
              </w:rPr>
            </w:pPr>
          </w:p>
        </w:tc>
        <w:tc>
          <w:tcPr>
            <w:tcW w:w="789" w:type="dxa"/>
            <w:tcBorders>
              <w:top w:val="nil"/>
              <w:left w:val="nil"/>
              <w:bottom w:val="nil"/>
              <w:right w:val="nil"/>
            </w:tcBorders>
            <w:shd w:val="clear" w:color="auto" w:fill="FFFFFF"/>
          </w:tcPr>
          <w:p w14:paraId="557B1128">
            <w:pPr>
              <w:rPr>
                <w:rFonts w:hint="default"/>
                <w:b w:val="0"/>
                <w:color w:val="000000"/>
                <w:vertAlign w:val="baseline"/>
                <w:lang w:val="en-US" w:eastAsia="zh-CN"/>
              </w:rPr>
            </w:pPr>
          </w:p>
        </w:tc>
      </w:tr>
      <w:tr w14:paraId="4C3EB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4" w:type="dxa"/>
            <w:tcBorders>
              <w:top w:val="nil"/>
              <w:left w:val="nil"/>
              <w:bottom w:val="nil"/>
              <w:right w:val="nil"/>
            </w:tcBorders>
            <w:shd w:val="clear" w:color="auto" w:fill="FFFFFF"/>
          </w:tcPr>
          <w:p w14:paraId="5F7303AF">
            <w:pPr>
              <w:rPr>
                <w:rFonts w:hint="default"/>
                <w:b w:val="0"/>
                <w:color w:val="000000"/>
                <w:vertAlign w:val="baseline"/>
                <w:lang w:val="en-US" w:eastAsia="zh-CN"/>
              </w:rPr>
            </w:pPr>
          </w:p>
        </w:tc>
        <w:tc>
          <w:tcPr>
            <w:tcW w:w="1359" w:type="dxa"/>
            <w:tcBorders>
              <w:top w:val="nil"/>
              <w:left w:val="nil"/>
              <w:bottom w:val="nil"/>
              <w:right w:val="nil"/>
            </w:tcBorders>
            <w:shd w:val="clear" w:color="auto" w:fill="FFFFFF"/>
          </w:tcPr>
          <w:p w14:paraId="490A26D6">
            <w:pPr>
              <w:rPr>
                <w:rFonts w:hint="default"/>
                <w:b w:val="0"/>
                <w:color w:val="000000"/>
                <w:vertAlign w:val="baseline"/>
                <w:lang w:val="en-US" w:eastAsia="zh-CN"/>
              </w:rPr>
            </w:pPr>
          </w:p>
        </w:tc>
        <w:tc>
          <w:tcPr>
            <w:tcW w:w="5620" w:type="dxa"/>
            <w:tcBorders>
              <w:top w:val="nil"/>
              <w:left w:val="nil"/>
              <w:bottom w:val="nil"/>
              <w:right w:val="nil"/>
            </w:tcBorders>
            <w:shd w:val="clear" w:color="auto" w:fill="FFFFFF"/>
          </w:tcPr>
          <w:p w14:paraId="7ABB9DD0">
            <w:pPr>
              <w:rPr>
                <w:rFonts w:hint="default"/>
                <w:b w:val="0"/>
                <w:color w:val="000000"/>
                <w:vertAlign w:val="baseline"/>
                <w:lang w:val="en-US" w:eastAsia="zh-CN"/>
              </w:rPr>
            </w:pPr>
          </w:p>
        </w:tc>
        <w:tc>
          <w:tcPr>
            <w:tcW w:w="789" w:type="dxa"/>
            <w:tcBorders>
              <w:top w:val="nil"/>
              <w:left w:val="nil"/>
              <w:bottom w:val="nil"/>
              <w:right w:val="nil"/>
            </w:tcBorders>
            <w:shd w:val="clear" w:color="auto" w:fill="FFFFFF"/>
          </w:tcPr>
          <w:p w14:paraId="312CBC95">
            <w:pPr>
              <w:rPr>
                <w:rFonts w:hint="default"/>
                <w:b w:val="0"/>
                <w:color w:val="000000"/>
                <w:vertAlign w:val="baseline"/>
                <w:lang w:val="en-US" w:eastAsia="zh-CN"/>
              </w:rPr>
            </w:pPr>
          </w:p>
        </w:tc>
      </w:tr>
      <w:tr w14:paraId="39F9C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54" w:type="dxa"/>
            <w:tcBorders>
              <w:top w:val="nil"/>
              <w:left w:val="nil"/>
              <w:bottom w:val="single" w:color="4874CB" w:sz="12" w:space="0"/>
              <w:right w:val="nil"/>
            </w:tcBorders>
            <w:shd w:val="clear" w:color="auto" w:fill="FFFFFF"/>
          </w:tcPr>
          <w:p w14:paraId="562E0A6F">
            <w:pPr>
              <w:rPr>
                <w:rFonts w:hint="default"/>
                <w:b w:val="0"/>
                <w:color w:val="000000"/>
                <w:vertAlign w:val="baseline"/>
                <w:lang w:val="en-US" w:eastAsia="zh-CN"/>
              </w:rPr>
            </w:pPr>
          </w:p>
        </w:tc>
        <w:tc>
          <w:tcPr>
            <w:tcW w:w="1359" w:type="dxa"/>
            <w:tcBorders>
              <w:top w:val="nil"/>
              <w:left w:val="nil"/>
              <w:bottom w:val="single" w:color="4874CB" w:sz="12" w:space="0"/>
              <w:right w:val="nil"/>
            </w:tcBorders>
            <w:shd w:val="clear" w:color="auto" w:fill="FFFFFF"/>
          </w:tcPr>
          <w:p w14:paraId="362AA8A6">
            <w:pPr>
              <w:rPr>
                <w:rFonts w:hint="default"/>
                <w:b w:val="0"/>
                <w:color w:val="000000"/>
                <w:vertAlign w:val="baseline"/>
                <w:lang w:val="en-US" w:eastAsia="zh-CN"/>
              </w:rPr>
            </w:pPr>
          </w:p>
        </w:tc>
        <w:tc>
          <w:tcPr>
            <w:tcW w:w="5620" w:type="dxa"/>
            <w:tcBorders>
              <w:top w:val="nil"/>
              <w:left w:val="nil"/>
              <w:bottom w:val="single" w:color="4874CB" w:sz="12" w:space="0"/>
              <w:right w:val="nil"/>
            </w:tcBorders>
            <w:shd w:val="clear" w:color="auto" w:fill="FFFFFF"/>
          </w:tcPr>
          <w:p w14:paraId="6475E401">
            <w:pPr>
              <w:rPr>
                <w:rFonts w:hint="default"/>
                <w:b w:val="0"/>
                <w:color w:val="000000"/>
                <w:vertAlign w:val="baseline"/>
                <w:lang w:val="en-US" w:eastAsia="zh-CN"/>
              </w:rPr>
            </w:pPr>
          </w:p>
        </w:tc>
        <w:tc>
          <w:tcPr>
            <w:tcW w:w="789" w:type="dxa"/>
            <w:tcBorders>
              <w:top w:val="nil"/>
              <w:left w:val="nil"/>
              <w:bottom w:val="single" w:color="4874CB" w:sz="12" w:space="0"/>
              <w:right w:val="nil"/>
            </w:tcBorders>
            <w:shd w:val="clear" w:color="auto" w:fill="FFFFFF"/>
          </w:tcPr>
          <w:p w14:paraId="1F266EEC">
            <w:pPr>
              <w:rPr>
                <w:rFonts w:hint="default"/>
                <w:b w:val="0"/>
                <w:color w:val="000000"/>
                <w:vertAlign w:val="baseline"/>
                <w:lang w:val="en-US" w:eastAsia="zh-CN"/>
              </w:rPr>
            </w:pPr>
          </w:p>
        </w:tc>
      </w:tr>
    </w:tbl>
    <w:p w14:paraId="4CD5E2F6">
      <w:pPr>
        <w:pStyle w:val="7"/>
        <w:tabs>
          <w:tab w:val="right" w:leader="dot" w:pos="8306"/>
        </w:tabs>
      </w:pPr>
      <w:r>
        <w:rPr>
          <w:rFonts w:hint="default"/>
          <w:lang w:val="en-US" w:eastAsia="zh-CN"/>
        </w:rPr>
        <w:fldChar w:fldCharType="begin"/>
      </w:r>
      <w:r>
        <w:rPr>
          <w:rFonts w:hint="default"/>
          <w:lang w:val="en-US" w:eastAsia="zh-CN"/>
        </w:rPr>
        <w:instrText xml:space="preserve">TOC \o "1-4"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_Toc15064 </w:instrText>
      </w:r>
      <w:r>
        <w:rPr>
          <w:rFonts w:hint="default"/>
          <w:lang w:val="en-US" w:eastAsia="zh-CN"/>
        </w:rPr>
        <w:fldChar w:fldCharType="separate"/>
      </w:r>
      <w:r>
        <w:rPr>
          <w:rFonts w:hint="eastAsia"/>
          <w:lang w:val="en-US" w:eastAsia="zh-CN"/>
        </w:rPr>
        <w:t>灵珠系统与灵珠副本</w:t>
      </w:r>
      <w:r>
        <w:tab/>
      </w:r>
      <w:r>
        <w:fldChar w:fldCharType="begin"/>
      </w:r>
      <w:r>
        <w:instrText xml:space="preserve"> PAGEREF _Toc15064 \h </w:instrText>
      </w:r>
      <w:r>
        <w:fldChar w:fldCharType="separate"/>
      </w:r>
      <w:r>
        <w:t>1</w:t>
      </w:r>
      <w:r>
        <w:fldChar w:fldCharType="end"/>
      </w:r>
      <w:r>
        <w:rPr>
          <w:rFonts w:hint="default"/>
          <w:lang w:val="en-US" w:eastAsia="zh-CN"/>
        </w:rPr>
        <w:fldChar w:fldCharType="end"/>
      </w:r>
    </w:p>
    <w:p w14:paraId="79F5D33C">
      <w:pPr>
        <w:pStyle w:val="9"/>
        <w:tabs>
          <w:tab w:val="right" w:leader="dot" w:pos="8306"/>
        </w:tabs>
      </w:pPr>
      <w:r>
        <w:rPr>
          <w:rFonts w:hint="default"/>
          <w:lang w:val="en-US" w:eastAsia="zh-CN"/>
        </w:rPr>
        <w:fldChar w:fldCharType="begin"/>
      </w:r>
      <w:r>
        <w:rPr>
          <w:rFonts w:hint="default"/>
          <w:lang w:val="en-US" w:eastAsia="zh-CN"/>
        </w:rPr>
        <w:instrText xml:space="preserve"> HYPERLINK \l _Toc20652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_Toc20652 \h </w:instrText>
      </w:r>
      <w:r>
        <w:fldChar w:fldCharType="separate"/>
      </w:r>
      <w:r>
        <w:t>2</w:t>
      </w:r>
      <w:r>
        <w:fldChar w:fldCharType="end"/>
      </w:r>
      <w:r>
        <w:rPr>
          <w:rFonts w:hint="default"/>
          <w:lang w:val="en-US" w:eastAsia="zh-CN"/>
        </w:rPr>
        <w:fldChar w:fldCharType="end"/>
      </w:r>
    </w:p>
    <w:p w14:paraId="0602CA32">
      <w:pPr>
        <w:pStyle w:val="9"/>
        <w:tabs>
          <w:tab w:val="right" w:leader="dot" w:pos="8306"/>
        </w:tabs>
      </w:pPr>
      <w:r>
        <w:rPr>
          <w:rFonts w:hint="default"/>
          <w:lang w:val="en-US" w:eastAsia="zh-CN"/>
        </w:rPr>
        <w:fldChar w:fldCharType="begin"/>
      </w:r>
      <w:r>
        <w:rPr>
          <w:rFonts w:hint="default"/>
          <w:lang w:val="en-US" w:eastAsia="zh-CN"/>
        </w:rPr>
        <w:instrText xml:space="preserve"> HYPERLINK \l _Toc22952 </w:instrText>
      </w:r>
      <w:r>
        <w:rPr>
          <w:rFonts w:hint="default"/>
          <w:lang w:val="en-US" w:eastAsia="zh-CN"/>
        </w:rPr>
        <w:fldChar w:fldCharType="separate"/>
      </w:r>
      <w:r>
        <w:rPr>
          <w:rFonts w:hint="eastAsia"/>
          <w:lang w:val="en-US" w:eastAsia="zh-CN"/>
        </w:rPr>
        <w:t>二、 系统概述</w:t>
      </w:r>
      <w:r>
        <w:tab/>
      </w:r>
      <w:r>
        <w:fldChar w:fldCharType="begin"/>
      </w:r>
      <w:r>
        <w:instrText xml:space="preserve"> PAGEREF _Toc22952 \h </w:instrText>
      </w:r>
      <w:r>
        <w:fldChar w:fldCharType="separate"/>
      </w:r>
      <w:r>
        <w:t>2</w:t>
      </w:r>
      <w:r>
        <w:fldChar w:fldCharType="end"/>
      </w:r>
      <w:r>
        <w:rPr>
          <w:rFonts w:hint="default"/>
          <w:lang w:val="en-US" w:eastAsia="zh-CN"/>
        </w:rPr>
        <w:fldChar w:fldCharType="end"/>
      </w:r>
    </w:p>
    <w:p w14:paraId="017EB29F">
      <w:pPr>
        <w:pStyle w:val="9"/>
        <w:tabs>
          <w:tab w:val="right" w:leader="dot" w:pos="8306"/>
        </w:tabs>
      </w:pPr>
      <w:r>
        <w:rPr>
          <w:rFonts w:hint="default"/>
          <w:lang w:val="en-US" w:eastAsia="zh-CN"/>
        </w:rPr>
        <w:fldChar w:fldCharType="begin"/>
      </w:r>
      <w:r>
        <w:rPr>
          <w:rFonts w:hint="default"/>
          <w:lang w:val="en-US" w:eastAsia="zh-CN"/>
        </w:rPr>
        <w:instrText xml:space="preserve"> HYPERLINK \l _Toc2171 </w:instrText>
      </w:r>
      <w:r>
        <w:rPr>
          <w:rFonts w:hint="default"/>
          <w:lang w:val="en-US" w:eastAsia="zh-CN"/>
        </w:rPr>
        <w:fldChar w:fldCharType="separate"/>
      </w:r>
      <w:r>
        <w:rPr>
          <w:rFonts w:hint="eastAsia"/>
          <w:lang w:val="en-US" w:eastAsia="zh-CN"/>
        </w:rPr>
        <w:t>三、 实现方式</w:t>
      </w:r>
      <w:r>
        <w:tab/>
      </w:r>
      <w:r>
        <w:fldChar w:fldCharType="begin"/>
      </w:r>
      <w:r>
        <w:instrText xml:space="preserve"> PAGEREF _Toc2171 \h </w:instrText>
      </w:r>
      <w:r>
        <w:fldChar w:fldCharType="separate"/>
      </w:r>
      <w:r>
        <w:t>3</w:t>
      </w:r>
      <w:r>
        <w:fldChar w:fldCharType="end"/>
      </w:r>
      <w:r>
        <w:rPr>
          <w:rFonts w:hint="default"/>
          <w:lang w:val="en-US" w:eastAsia="zh-CN"/>
        </w:rPr>
        <w:fldChar w:fldCharType="end"/>
      </w:r>
    </w:p>
    <w:p w14:paraId="2B5DE2C3">
      <w:pPr>
        <w:pStyle w:val="6"/>
        <w:tabs>
          <w:tab w:val="right" w:leader="dot" w:pos="8306"/>
        </w:tabs>
      </w:pPr>
      <w:r>
        <w:rPr>
          <w:rFonts w:hint="default"/>
          <w:lang w:val="en-US" w:eastAsia="zh-CN"/>
        </w:rPr>
        <w:fldChar w:fldCharType="begin"/>
      </w:r>
      <w:r>
        <w:rPr>
          <w:rFonts w:hint="default"/>
          <w:lang w:val="en-US" w:eastAsia="zh-CN"/>
        </w:rPr>
        <w:instrText xml:space="preserve"> HYPERLINK \l _Toc25374 </w:instrText>
      </w:r>
      <w:r>
        <w:rPr>
          <w:rFonts w:hint="default"/>
          <w:lang w:val="en-US" w:eastAsia="zh-CN"/>
        </w:rPr>
        <w:fldChar w:fldCharType="separate"/>
      </w:r>
      <w:r>
        <w:rPr>
          <w:rFonts w:hint="eastAsia"/>
          <w:lang w:val="en-US" w:eastAsia="zh-CN"/>
        </w:rPr>
        <w:t>3.1 灵珠系统入口与界面</w:t>
      </w:r>
      <w:r>
        <w:tab/>
      </w:r>
      <w:r>
        <w:fldChar w:fldCharType="begin"/>
      </w:r>
      <w:r>
        <w:instrText xml:space="preserve"> PAGEREF _Toc25374 \h </w:instrText>
      </w:r>
      <w:r>
        <w:fldChar w:fldCharType="separate"/>
      </w:r>
      <w:r>
        <w:t>3</w:t>
      </w:r>
      <w:r>
        <w:fldChar w:fldCharType="end"/>
      </w:r>
      <w:r>
        <w:rPr>
          <w:rFonts w:hint="default"/>
          <w:lang w:val="en-US" w:eastAsia="zh-CN"/>
        </w:rPr>
        <w:fldChar w:fldCharType="end"/>
      </w:r>
    </w:p>
    <w:p w14:paraId="02C87A69">
      <w:pPr>
        <w:pStyle w:val="8"/>
        <w:tabs>
          <w:tab w:val="right" w:leader="dot" w:pos="8306"/>
        </w:tabs>
      </w:pPr>
      <w:r>
        <w:rPr>
          <w:rFonts w:hint="default"/>
          <w:lang w:val="en-US" w:eastAsia="zh-CN"/>
        </w:rPr>
        <w:fldChar w:fldCharType="begin"/>
      </w:r>
      <w:r>
        <w:rPr>
          <w:rFonts w:hint="default"/>
          <w:lang w:val="en-US" w:eastAsia="zh-CN"/>
        </w:rPr>
        <w:instrText xml:space="preserve"> HYPERLINK \l _Toc4239 </w:instrText>
      </w:r>
      <w:r>
        <w:rPr>
          <w:rFonts w:hint="default"/>
          <w:lang w:val="en-US" w:eastAsia="zh-CN"/>
        </w:rPr>
        <w:fldChar w:fldCharType="separate"/>
      </w:r>
      <w:r>
        <w:rPr>
          <w:rFonts w:hint="default"/>
          <w:lang w:val="en-US" w:eastAsia="zh-CN"/>
        </w:rPr>
        <w:t xml:space="preserve">3.1.1 </w:t>
      </w:r>
      <w:r>
        <w:rPr>
          <w:rFonts w:hint="eastAsia"/>
          <w:lang w:val="en-US" w:eastAsia="zh-CN"/>
        </w:rPr>
        <w:t>灵珠装备详情页</w:t>
      </w:r>
      <w:r>
        <w:tab/>
      </w:r>
      <w:r>
        <w:fldChar w:fldCharType="begin"/>
      </w:r>
      <w:r>
        <w:instrText xml:space="preserve"> PAGEREF _Toc4239 \h </w:instrText>
      </w:r>
      <w:r>
        <w:fldChar w:fldCharType="separate"/>
      </w:r>
      <w:r>
        <w:t>4</w:t>
      </w:r>
      <w:r>
        <w:fldChar w:fldCharType="end"/>
      </w:r>
      <w:r>
        <w:rPr>
          <w:rFonts w:hint="default"/>
          <w:lang w:val="en-US" w:eastAsia="zh-CN"/>
        </w:rPr>
        <w:fldChar w:fldCharType="end"/>
      </w:r>
    </w:p>
    <w:p w14:paraId="39104A92">
      <w:pPr>
        <w:pStyle w:val="6"/>
        <w:tabs>
          <w:tab w:val="right" w:leader="dot" w:pos="8306"/>
        </w:tabs>
      </w:pPr>
      <w:r>
        <w:rPr>
          <w:rFonts w:hint="default"/>
          <w:lang w:val="en-US" w:eastAsia="zh-CN"/>
        </w:rPr>
        <w:fldChar w:fldCharType="begin"/>
      </w:r>
      <w:r>
        <w:rPr>
          <w:rFonts w:hint="default"/>
          <w:lang w:val="en-US" w:eastAsia="zh-CN"/>
        </w:rPr>
        <w:instrText xml:space="preserve"> HYPERLINK \l _Toc14368 </w:instrText>
      </w:r>
      <w:r>
        <w:rPr>
          <w:rFonts w:hint="default"/>
          <w:lang w:val="en-US" w:eastAsia="zh-CN"/>
        </w:rPr>
        <w:fldChar w:fldCharType="separate"/>
      </w:r>
      <w:r>
        <w:rPr>
          <w:rFonts w:hint="default"/>
          <w:lang w:val="en-US" w:eastAsia="zh-CN"/>
        </w:rPr>
        <w:t xml:space="preserve">3.2 </w:t>
      </w:r>
      <w:r>
        <w:rPr>
          <w:rFonts w:hint="eastAsia"/>
          <w:lang w:val="en-US" w:eastAsia="zh-CN"/>
        </w:rPr>
        <w:t>灵珠强化</w:t>
      </w:r>
      <w:r>
        <w:tab/>
      </w:r>
      <w:r>
        <w:fldChar w:fldCharType="begin"/>
      </w:r>
      <w:r>
        <w:instrText xml:space="preserve"> PAGEREF _Toc14368 \h </w:instrText>
      </w:r>
      <w:r>
        <w:fldChar w:fldCharType="separate"/>
      </w:r>
      <w:r>
        <w:t>5</w:t>
      </w:r>
      <w:r>
        <w:fldChar w:fldCharType="end"/>
      </w:r>
      <w:r>
        <w:rPr>
          <w:rFonts w:hint="default"/>
          <w:lang w:val="en-US" w:eastAsia="zh-CN"/>
        </w:rPr>
        <w:fldChar w:fldCharType="end"/>
      </w:r>
    </w:p>
    <w:p w14:paraId="0DAD861B">
      <w:pPr>
        <w:pStyle w:val="6"/>
        <w:tabs>
          <w:tab w:val="right" w:leader="dot" w:pos="8306"/>
        </w:tabs>
      </w:pPr>
      <w:r>
        <w:rPr>
          <w:rFonts w:hint="default"/>
          <w:lang w:val="en-US" w:eastAsia="zh-CN"/>
        </w:rPr>
        <w:fldChar w:fldCharType="begin"/>
      </w:r>
      <w:r>
        <w:rPr>
          <w:rFonts w:hint="default"/>
          <w:lang w:val="en-US" w:eastAsia="zh-CN"/>
        </w:rPr>
        <w:instrText xml:space="preserve"> HYPERLINK \l _Toc14833 </w:instrText>
      </w:r>
      <w:r>
        <w:rPr>
          <w:rFonts w:hint="default"/>
          <w:lang w:val="en-US" w:eastAsia="zh-CN"/>
        </w:rPr>
        <w:fldChar w:fldCharType="separate"/>
      </w:r>
      <w:r>
        <w:rPr>
          <w:rFonts w:hint="default"/>
          <w:lang w:val="en-US" w:eastAsia="zh-CN"/>
        </w:rPr>
        <w:t xml:space="preserve">3.3 </w:t>
      </w:r>
      <w:r>
        <w:rPr>
          <w:rFonts w:hint="eastAsia"/>
          <w:lang w:val="en-US" w:eastAsia="zh-CN"/>
        </w:rPr>
        <w:t>灵珠副本</w:t>
      </w:r>
      <w:r>
        <w:tab/>
      </w:r>
      <w:r>
        <w:fldChar w:fldCharType="begin"/>
      </w:r>
      <w:r>
        <w:instrText xml:space="preserve"> PAGEREF _Toc14833 \h </w:instrText>
      </w:r>
      <w:r>
        <w:fldChar w:fldCharType="separate"/>
      </w:r>
      <w:r>
        <w:t>6</w:t>
      </w:r>
      <w:r>
        <w:fldChar w:fldCharType="end"/>
      </w:r>
      <w:r>
        <w:rPr>
          <w:rFonts w:hint="default"/>
          <w:lang w:val="en-US" w:eastAsia="zh-CN"/>
        </w:rPr>
        <w:fldChar w:fldCharType="end"/>
      </w:r>
    </w:p>
    <w:p w14:paraId="3D2C96E9">
      <w:pPr>
        <w:pStyle w:val="8"/>
        <w:tabs>
          <w:tab w:val="right" w:leader="dot" w:pos="8306"/>
        </w:tabs>
      </w:pPr>
      <w:r>
        <w:rPr>
          <w:rFonts w:hint="default"/>
          <w:lang w:val="en-US" w:eastAsia="zh-CN"/>
        </w:rPr>
        <w:fldChar w:fldCharType="begin"/>
      </w:r>
      <w:r>
        <w:rPr>
          <w:rFonts w:hint="default"/>
          <w:lang w:val="en-US" w:eastAsia="zh-CN"/>
        </w:rPr>
        <w:instrText xml:space="preserve"> HYPERLINK \l _Toc29284 </w:instrText>
      </w:r>
      <w:r>
        <w:rPr>
          <w:rFonts w:hint="default"/>
          <w:lang w:val="en-US" w:eastAsia="zh-CN"/>
        </w:rPr>
        <w:fldChar w:fldCharType="separate"/>
      </w:r>
      <w:r>
        <w:rPr>
          <w:rFonts w:hint="default"/>
          <w:lang w:val="en-US" w:eastAsia="zh-CN"/>
        </w:rPr>
        <w:t xml:space="preserve">3.3.1 </w:t>
      </w:r>
      <w:r>
        <w:rPr>
          <w:rFonts w:hint="eastAsia"/>
          <w:lang w:val="en-US" w:eastAsia="zh-CN"/>
        </w:rPr>
        <w:t>灵珠副本内定义</w:t>
      </w:r>
      <w:r>
        <w:tab/>
      </w:r>
      <w:r>
        <w:fldChar w:fldCharType="begin"/>
      </w:r>
      <w:r>
        <w:instrText xml:space="preserve"> PAGEREF _Toc29284 \h </w:instrText>
      </w:r>
      <w:r>
        <w:fldChar w:fldCharType="separate"/>
      </w:r>
      <w:r>
        <w:t>8</w:t>
      </w:r>
      <w:r>
        <w:fldChar w:fldCharType="end"/>
      </w:r>
      <w:r>
        <w:rPr>
          <w:rFonts w:hint="default"/>
          <w:lang w:val="en-US" w:eastAsia="zh-CN"/>
        </w:rPr>
        <w:fldChar w:fldCharType="end"/>
      </w:r>
    </w:p>
    <w:p w14:paraId="38512299">
      <w:pPr>
        <w:pStyle w:val="8"/>
        <w:tabs>
          <w:tab w:val="right" w:leader="dot" w:pos="8306"/>
        </w:tabs>
      </w:pPr>
      <w:r>
        <w:rPr>
          <w:rFonts w:hint="default"/>
          <w:lang w:val="en-US" w:eastAsia="zh-CN"/>
        </w:rPr>
        <w:fldChar w:fldCharType="begin"/>
      </w:r>
      <w:r>
        <w:rPr>
          <w:rFonts w:hint="default"/>
          <w:lang w:val="en-US" w:eastAsia="zh-CN"/>
        </w:rPr>
        <w:instrText xml:space="preserve"> HYPERLINK \l _Toc22790 </w:instrText>
      </w:r>
      <w:r>
        <w:rPr>
          <w:rFonts w:hint="default"/>
          <w:lang w:val="en-US" w:eastAsia="zh-CN"/>
        </w:rPr>
        <w:fldChar w:fldCharType="separate"/>
      </w:r>
      <w:r>
        <w:rPr>
          <w:rFonts w:hint="default"/>
          <w:lang w:val="en-US" w:eastAsia="zh-CN"/>
        </w:rPr>
        <w:t xml:space="preserve">3.3.2 </w:t>
      </w:r>
      <w:r>
        <w:rPr>
          <w:rFonts w:hint="eastAsia"/>
          <w:lang w:val="en-US" w:eastAsia="zh-CN"/>
        </w:rPr>
        <w:t>灵珠副本结算设定</w:t>
      </w:r>
      <w:r>
        <w:tab/>
      </w:r>
      <w:r>
        <w:fldChar w:fldCharType="begin"/>
      </w:r>
      <w:r>
        <w:instrText xml:space="preserve"> PAGEREF _Toc22790 \h </w:instrText>
      </w:r>
      <w:r>
        <w:fldChar w:fldCharType="separate"/>
      </w:r>
      <w:r>
        <w:t>9</w:t>
      </w:r>
      <w:r>
        <w:fldChar w:fldCharType="end"/>
      </w:r>
      <w:r>
        <w:rPr>
          <w:rFonts w:hint="default"/>
          <w:lang w:val="en-US" w:eastAsia="zh-CN"/>
        </w:rPr>
        <w:fldChar w:fldCharType="end"/>
      </w:r>
    </w:p>
    <w:p w14:paraId="2F179B37">
      <w:pPr>
        <w:pStyle w:val="9"/>
        <w:tabs>
          <w:tab w:val="right" w:leader="dot" w:pos="8306"/>
        </w:tabs>
      </w:pPr>
      <w:r>
        <w:rPr>
          <w:rFonts w:hint="default"/>
          <w:lang w:val="en-US" w:eastAsia="zh-CN"/>
        </w:rPr>
        <w:fldChar w:fldCharType="begin"/>
      </w:r>
      <w:r>
        <w:rPr>
          <w:rFonts w:hint="default"/>
          <w:lang w:val="en-US" w:eastAsia="zh-CN"/>
        </w:rPr>
        <w:instrText xml:space="preserve"> HYPERLINK \l _Toc22557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_Toc22557 \h </w:instrText>
      </w:r>
      <w:r>
        <w:fldChar w:fldCharType="separate"/>
      </w:r>
      <w:r>
        <w:t>11</w:t>
      </w:r>
      <w:r>
        <w:fldChar w:fldCharType="end"/>
      </w:r>
      <w:r>
        <w:rPr>
          <w:rFonts w:hint="default"/>
          <w:lang w:val="en-US" w:eastAsia="zh-CN"/>
        </w:rPr>
        <w:fldChar w:fldCharType="end"/>
      </w:r>
    </w:p>
    <w:p w14:paraId="6510C5A1">
      <w:pPr>
        <w:pStyle w:val="6"/>
        <w:tabs>
          <w:tab w:val="right" w:leader="dot" w:pos="8306"/>
        </w:tabs>
      </w:pPr>
      <w:r>
        <w:rPr>
          <w:rFonts w:hint="default"/>
          <w:lang w:val="en-US" w:eastAsia="zh-CN"/>
        </w:rPr>
        <w:fldChar w:fldCharType="begin"/>
      </w:r>
      <w:r>
        <w:rPr>
          <w:rFonts w:hint="default"/>
          <w:lang w:val="en-US" w:eastAsia="zh-CN"/>
        </w:rPr>
        <w:instrText xml:space="preserve"> HYPERLINK \l _Toc22803 </w:instrText>
      </w:r>
      <w:r>
        <w:rPr>
          <w:rFonts w:hint="default"/>
          <w:lang w:val="en-US" w:eastAsia="zh-CN"/>
        </w:rPr>
        <w:fldChar w:fldCharType="separate"/>
      </w:r>
      <w:r>
        <w:rPr>
          <w:rFonts w:hint="default"/>
          <w:lang w:val="en-US" w:eastAsia="zh-CN"/>
        </w:rPr>
        <w:t xml:space="preserve">4.1 </w:t>
      </w:r>
      <w:r>
        <w:rPr>
          <w:rFonts w:hint="eastAsia"/>
          <w:lang w:val="en-US" w:eastAsia="zh-CN"/>
        </w:rPr>
        <w:t>灵珠副本挑战流程</w:t>
      </w:r>
      <w:r>
        <w:tab/>
      </w:r>
      <w:r>
        <w:fldChar w:fldCharType="begin"/>
      </w:r>
      <w:r>
        <w:instrText xml:space="preserve"> PAGEREF _Toc22803 \h </w:instrText>
      </w:r>
      <w:r>
        <w:fldChar w:fldCharType="separate"/>
      </w:r>
      <w:r>
        <w:t>11</w:t>
      </w:r>
      <w:r>
        <w:fldChar w:fldCharType="end"/>
      </w:r>
      <w:r>
        <w:rPr>
          <w:rFonts w:hint="default"/>
          <w:lang w:val="en-US" w:eastAsia="zh-CN"/>
        </w:rPr>
        <w:fldChar w:fldCharType="end"/>
      </w:r>
    </w:p>
    <w:p w14:paraId="6BBBDE60">
      <w:pPr>
        <w:rPr>
          <w:rFonts w:hint="default"/>
          <w:lang w:val="en-US" w:eastAsia="zh-CN"/>
        </w:rPr>
      </w:pPr>
      <w:r>
        <w:rPr>
          <w:rFonts w:hint="default"/>
          <w:lang w:val="en-US" w:eastAsia="zh-CN"/>
        </w:rPr>
        <w:fldChar w:fldCharType="end"/>
      </w:r>
    </w:p>
    <w:p w14:paraId="37BFEBAB">
      <w:pPr>
        <w:rPr>
          <w:rFonts w:hint="default"/>
          <w:lang w:val="en-US" w:eastAsia="zh-CN"/>
        </w:rPr>
      </w:pPr>
    </w:p>
    <w:p w14:paraId="3038BD82">
      <w:pPr>
        <w:rPr>
          <w:rFonts w:hint="default"/>
          <w:lang w:val="en-US" w:eastAsia="zh-CN"/>
        </w:rPr>
      </w:pPr>
    </w:p>
    <w:p w14:paraId="3F5C2EDD">
      <w:pPr>
        <w:rPr>
          <w:rFonts w:hint="default"/>
          <w:lang w:val="en-US" w:eastAsia="zh-CN"/>
        </w:rPr>
      </w:pPr>
    </w:p>
    <w:p w14:paraId="7EE96024">
      <w:pPr>
        <w:rPr>
          <w:rFonts w:hint="default"/>
          <w:lang w:val="en-US" w:eastAsia="zh-CN"/>
        </w:rPr>
      </w:pPr>
    </w:p>
    <w:p w14:paraId="26D4968A">
      <w:pPr>
        <w:rPr>
          <w:rFonts w:hint="default"/>
          <w:lang w:val="en-US" w:eastAsia="zh-CN"/>
        </w:rPr>
      </w:pPr>
    </w:p>
    <w:p w14:paraId="1CFF746E">
      <w:pPr>
        <w:rPr>
          <w:rFonts w:hint="default"/>
          <w:lang w:val="en-US" w:eastAsia="zh-CN"/>
        </w:rPr>
      </w:pPr>
    </w:p>
    <w:p w14:paraId="2E0D2C3D">
      <w:pPr>
        <w:rPr>
          <w:rFonts w:hint="default"/>
          <w:lang w:val="en-US" w:eastAsia="zh-CN"/>
        </w:rPr>
      </w:pPr>
    </w:p>
    <w:p w14:paraId="021D42CD">
      <w:pPr>
        <w:rPr>
          <w:rFonts w:hint="default"/>
          <w:lang w:val="en-US" w:eastAsia="zh-CN"/>
        </w:rPr>
      </w:pPr>
    </w:p>
    <w:p w14:paraId="3FCE526D">
      <w:pPr>
        <w:rPr>
          <w:rFonts w:hint="default"/>
          <w:lang w:val="en-US" w:eastAsia="zh-CN"/>
        </w:rPr>
      </w:pPr>
    </w:p>
    <w:p w14:paraId="1CC96CB2">
      <w:pPr>
        <w:rPr>
          <w:rFonts w:hint="default"/>
          <w:lang w:val="en-US" w:eastAsia="zh-CN"/>
        </w:rPr>
      </w:pPr>
    </w:p>
    <w:p w14:paraId="7DA90E67">
      <w:pPr>
        <w:rPr>
          <w:rFonts w:hint="default"/>
          <w:lang w:val="en-US" w:eastAsia="zh-CN"/>
        </w:rPr>
      </w:pPr>
    </w:p>
    <w:p w14:paraId="654FF5E1">
      <w:pPr>
        <w:rPr>
          <w:rFonts w:hint="default"/>
          <w:lang w:val="en-US" w:eastAsia="zh-CN"/>
        </w:rPr>
      </w:pPr>
    </w:p>
    <w:p w14:paraId="543BE298">
      <w:pPr>
        <w:rPr>
          <w:rFonts w:hint="default"/>
          <w:lang w:val="en-US" w:eastAsia="zh-CN"/>
        </w:rPr>
      </w:pPr>
    </w:p>
    <w:p w14:paraId="46032505">
      <w:pPr>
        <w:rPr>
          <w:rFonts w:hint="default"/>
          <w:lang w:val="en-US" w:eastAsia="zh-CN"/>
        </w:rPr>
      </w:pPr>
    </w:p>
    <w:p w14:paraId="3665EA1B">
      <w:pPr>
        <w:rPr>
          <w:rFonts w:hint="default"/>
          <w:lang w:val="en-US" w:eastAsia="zh-CN"/>
        </w:rPr>
      </w:pPr>
    </w:p>
    <w:p w14:paraId="4CA43D91">
      <w:pPr>
        <w:rPr>
          <w:rFonts w:hint="default"/>
          <w:lang w:val="en-US" w:eastAsia="zh-CN"/>
        </w:rPr>
      </w:pPr>
    </w:p>
    <w:p w14:paraId="01076485">
      <w:pPr>
        <w:rPr>
          <w:rFonts w:hint="default"/>
          <w:lang w:val="en-US" w:eastAsia="zh-CN"/>
        </w:rPr>
      </w:pPr>
    </w:p>
    <w:p w14:paraId="6233DC69">
      <w:pPr>
        <w:rPr>
          <w:rFonts w:hint="default"/>
          <w:lang w:val="en-US" w:eastAsia="zh-CN"/>
        </w:rPr>
      </w:pPr>
    </w:p>
    <w:p w14:paraId="578E59D2">
      <w:pPr>
        <w:rPr>
          <w:rFonts w:hint="default"/>
          <w:lang w:val="en-US" w:eastAsia="zh-CN"/>
        </w:rPr>
      </w:pPr>
    </w:p>
    <w:p w14:paraId="2D966FEB">
      <w:pPr>
        <w:rPr>
          <w:rFonts w:hint="default"/>
          <w:lang w:val="en-US" w:eastAsia="zh-CN"/>
        </w:rPr>
      </w:pPr>
    </w:p>
    <w:p w14:paraId="76992743">
      <w:pPr>
        <w:rPr>
          <w:rFonts w:hint="default"/>
          <w:lang w:val="en-US" w:eastAsia="zh-CN"/>
        </w:rPr>
      </w:pPr>
    </w:p>
    <w:p w14:paraId="2EA20BE7">
      <w:pPr>
        <w:rPr>
          <w:rFonts w:hint="default"/>
          <w:lang w:val="en-US" w:eastAsia="zh-CN"/>
        </w:rPr>
      </w:pPr>
    </w:p>
    <w:p w14:paraId="323611F3">
      <w:pPr>
        <w:pStyle w:val="3"/>
        <w:numPr>
          <w:ilvl w:val="0"/>
          <w:numId w:val="1"/>
        </w:numPr>
        <w:bidi w:val="0"/>
        <w:ind w:left="0" w:leftChars="0" w:firstLine="420" w:firstLineChars="0"/>
        <w:rPr>
          <w:rFonts w:hint="eastAsia"/>
          <w:lang w:val="en-US" w:eastAsia="zh-CN"/>
        </w:rPr>
      </w:pPr>
      <w:bookmarkStart w:id="1" w:name="_Toc20652"/>
      <w:bookmarkStart w:id="12" w:name="_GoBack"/>
      <w:bookmarkEnd w:id="12"/>
      <w:r>
        <w:rPr>
          <w:rFonts w:hint="eastAsia"/>
          <w:lang w:val="en-US" w:eastAsia="zh-CN"/>
        </w:rPr>
        <w:t>设计目的</w:t>
      </w:r>
      <w:bookmarkEnd w:id="1"/>
    </w:p>
    <w:p w14:paraId="0791DD22">
      <w:pPr>
        <w:numPr>
          <w:ilvl w:val="0"/>
          <w:numId w:val="2"/>
        </w:numPr>
        <w:ind w:left="425" w:leftChars="0" w:hanging="425" w:firstLineChars="0"/>
        <w:rPr>
          <w:rFonts w:hint="eastAsia"/>
          <w:lang w:val="en-US" w:eastAsia="zh-CN"/>
        </w:rPr>
      </w:pPr>
      <w:r>
        <w:rPr>
          <w:rFonts w:hint="eastAsia"/>
          <w:lang w:val="en-US" w:eastAsia="zh-CN"/>
        </w:rPr>
        <w:t>提供灵珠的养成系统，拓展玩家游戏内的数值追求深度。</w:t>
      </w:r>
    </w:p>
    <w:p w14:paraId="36103C58">
      <w:pPr>
        <w:numPr>
          <w:ilvl w:val="0"/>
          <w:numId w:val="2"/>
        </w:numPr>
        <w:ind w:left="425" w:leftChars="0" w:hanging="425" w:firstLineChars="0"/>
        <w:rPr>
          <w:rFonts w:hint="eastAsia"/>
          <w:lang w:val="en-US" w:eastAsia="zh-CN"/>
        </w:rPr>
      </w:pPr>
      <w:r>
        <w:rPr>
          <w:rFonts w:hint="eastAsia"/>
          <w:lang w:val="en-US" w:eastAsia="zh-CN"/>
        </w:rPr>
        <w:t>提供灵珠首领副本的抢夺玩法，增强行会间成员的互助与敌对玩家之间的竞争。</w:t>
      </w:r>
    </w:p>
    <w:p w14:paraId="66437966">
      <w:pPr>
        <w:pStyle w:val="3"/>
        <w:numPr>
          <w:ilvl w:val="0"/>
          <w:numId w:val="1"/>
        </w:numPr>
        <w:bidi w:val="0"/>
        <w:ind w:left="0" w:leftChars="0" w:firstLine="420" w:firstLineChars="0"/>
        <w:rPr>
          <w:rFonts w:hint="eastAsia"/>
          <w:lang w:val="en-US" w:eastAsia="zh-CN"/>
        </w:rPr>
      </w:pPr>
      <w:bookmarkStart w:id="2" w:name="_Toc22952"/>
      <w:r>
        <w:rPr>
          <w:rFonts w:hint="eastAsia"/>
          <w:lang w:val="en-US" w:eastAsia="zh-CN"/>
        </w:rPr>
        <w:t>系统概述</w:t>
      </w:r>
      <w:bookmarkEnd w:id="2"/>
    </w:p>
    <w:p w14:paraId="021919B3">
      <w:pPr>
        <w:numPr>
          <w:ilvl w:val="0"/>
          <w:numId w:val="3"/>
        </w:numPr>
        <w:ind w:left="425" w:leftChars="0" w:hanging="425" w:firstLineChars="0"/>
        <w:rPr>
          <w:rFonts w:hint="eastAsia"/>
          <w:lang w:val="en-US" w:eastAsia="zh-CN"/>
        </w:rPr>
      </w:pPr>
      <w:r>
        <w:rPr>
          <w:rFonts w:hint="eastAsia"/>
          <w:lang w:val="en-US" w:eastAsia="zh-CN"/>
        </w:rPr>
        <w:t>灵珠系统定义为角色的第二套死亡不会爆落的副装备，也遵循角色装备的穿戴、卸下、替换等操作。</w:t>
      </w:r>
    </w:p>
    <w:p w14:paraId="501830CB">
      <w:pPr>
        <w:numPr>
          <w:ilvl w:val="0"/>
          <w:numId w:val="3"/>
        </w:numPr>
        <w:ind w:left="425" w:leftChars="0" w:hanging="425" w:firstLineChars="0"/>
        <w:rPr>
          <w:rFonts w:hint="eastAsia"/>
          <w:lang w:val="en-US" w:eastAsia="zh-CN"/>
        </w:rPr>
      </w:pPr>
      <w:r>
        <w:rPr>
          <w:rFonts w:hint="eastAsia"/>
          <w:lang w:val="en-US" w:eastAsia="zh-CN"/>
        </w:rPr>
        <w:t>灵珠一共分为12类，按照12生肖的名称来命名，每一类都分为7个品质（白~红），每个品质都含有3个星级。例如：鼠灵珠·白1星；鼠灵珠·白2星；鼠灵珠·白3星。灵珠之间无法进行合成，只能通过替换的操作来进行属性的提升。</w:t>
      </w:r>
    </w:p>
    <w:p w14:paraId="16080057">
      <w:pPr>
        <w:numPr>
          <w:ilvl w:val="0"/>
          <w:numId w:val="3"/>
        </w:numPr>
        <w:ind w:left="425" w:leftChars="0" w:hanging="425" w:firstLineChars="0"/>
        <w:rPr>
          <w:rFonts w:hint="eastAsia"/>
          <w:lang w:val="en-US" w:eastAsia="zh-CN"/>
        </w:rPr>
      </w:pPr>
      <w:r>
        <w:rPr>
          <w:rFonts w:hint="eastAsia"/>
          <w:lang w:val="en-US" w:eastAsia="zh-CN"/>
        </w:rPr>
        <w:t>装备灵珠的槽位也可以通过NPC处进行强化，强化逻辑同装备的强化，即：只有对应槽位上穿戴了灵珠之后，该槽位的强化数值才能生效。</w:t>
      </w:r>
    </w:p>
    <w:p w14:paraId="341941F0">
      <w:pPr>
        <w:numPr>
          <w:ilvl w:val="0"/>
          <w:numId w:val="3"/>
        </w:numPr>
        <w:ind w:left="425" w:leftChars="0" w:hanging="425" w:firstLineChars="0"/>
        <w:rPr>
          <w:rFonts w:hint="eastAsia"/>
          <w:lang w:val="en-US" w:eastAsia="zh-CN"/>
        </w:rPr>
      </w:pPr>
      <w:r>
        <w:rPr>
          <w:rFonts w:hint="eastAsia"/>
          <w:lang w:val="en-US" w:eastAsia="zh-CN"/>
        </w:rPr>
        <w:t>不同种类、星级的灵珠所提供的属性也不同，但需要支持带有上下限的属性。相同品质、相同星级的灵珠穿戴在槽位上之后可以激活额外的套装属性，具体属性通过配置读取。</w:t>
      </w:r>
    </w:p>
    <w:p w14:paraId="2E02DF65">
      <w:pPr>
        <w:numPr>
          <w:ilvl w:val="0"/>
          <w:numId w:val="3"/>
        </w:numPr>
        <w:ind w:left="425" w:leftChars="0" w:hanging="425" w:firstLineChars="0"/>
        <w:rPr>
          <w:rFonts w:hint="eastAsia"/>
          <w:lang w:val="en-US" w:eastAsia="zh-CN"/>
        </w:rPr>
      </w:pPr>
      <w:r>
        <w:rPr>
          <w:rFonts w:hint="eastAsia"/>
          <w:lang w:val="en-US" w:eastAsia="zh-CN"/>
        </w:rPr>
        <w:t>灵珠副本为多人副本，副本内将会定时刷新一只boss，boss击杀后可以获得对应的副本奖励结算。副本的结算归属采用最后一刀击杀原则；战斗过程中的boss归属则采用仇恨机制原则（即当前boss攻击谁，谁占有boss）。</w:t>
      </w:r>
    </w:p>
    <w:p w14:paraId="01C572D0">
      <w:pPr>
        <w:numPr>
          <w:ilvl w:val="0"/>
          <w:numId w:val="3"/>
        </w:numPr>
        <w:ind w:left="425" w:leftChars="0" w:hanging="425" w:firstLineChars="0"/>
        <w:rPr>
          <w:rFonts w:hint="eastAsia"/>
          <w:lang w:val="en-US" w:eastAsia="zh-CN"/>
        </w:rPr>
      </w:pPr>
      <w:r>
        <w:rPr>
          <w:rFonts w:hint="eastAsia"/>
          <w:lang w:val="en-US" w:eastAsia="zh-CN"/>
        </w:rPr>
        <w:t>灵珠副本内死亡可以消耗金币进行原地复活，但复活具有倒计时限制，倒计时结束前未复活的则在倒计时结束后自动返回安全区。如果在副本首领未被击杀的情况下退出了副本，则所有的灵珠副本将进入挑战冷却倒计时（10秒）。</w:t>
      </w:r>
    </w:p>
    <w:p w14:paraId="57E180D5">
      <w:pPr>
        <w:numPr>
          <w:ilvl w:val="0"/>
          <w:numId w:val="3"/>
        </w:numPr>
        <w:ind w:left="425" w:leftChars="0" w:hanging="425" w:firstLineChars="0"/>
        <w:rPr>
          <w:rFonts w:hint="eastAsia"/>
          <w:lang w:val="en-US" w:eastAsia="zh-CN"/>
        </w:rPr>
      </w:pPr>
      <w:r>
        <w:rPr>
          <w:rFonts w:hint="eastAsia"/>
          <w:lang w:val="en-US" w:eastAsia="zh-CN"/>
        </w:rPr>
        <w:t>灵珠副本内进行死亡复活所消耗的金币，随着次数的增加而递增，具体数量通过配置读取。每次退出副本之后，金币消耗进行重置。</w:t>
      </w:r>
    </w:p>
    <w:p w14:paraId="1CBF3A35">
      <w:pPr>
        <w:numPr>
          <w:ilvl w:val="0"/>
          <w:numId w:val="3"/>
        </w:numPr>
        <w:ind w:left="425" w:leftChars="0" w:hanging="425" w:firstLineChars="0"/>
        <w:rPr>
          <w:rFonts w:hint="eastAsia"/>
          <w:lang w:val="en-US" w:eastAsia="zh-CN"/>
        </w:rPr>
      </w:pPr>
      <w:r>
        <w:rPr>
          <w:rFonts w:hint="eastAsia"/>
          <w:lang w:val="en-US" w:eastAsia="zh-CN"/>
        </w:rPr>
        <w:t>灵珠副本内可以通过快捷按钮一键向当前的行会频道发送邀请链接，当前在线的行会成员均可以看到，并且可以点击链接直接进入到灵珠副本（只有副本进入条件满足才行）。</w:t>
      </w:r>
    </w:p>
    <w:p w14:paraId="52EB7157">
      <w:pPr>
        <w:numPr>
          <w:ilvl w:val="0"/>
          <w:numId w:val="3"/>
        </w:numPr>
        <w:ind w:left="425" w:leftChars="0" w:hanging="425" w:firstLineChars="0"/>
        <w:rPr>
          <w:rFonts w:hint="eastAsia"/>
          <w:lang w:val="en-US" w:eastAsia="zh-CN"/>
        </w:rPr>
      </w:pPr>
      <w:r>
        <w:rPr>
          <w:rFonts w:hint="eastAsia"/>
          <w:lang w:val="en-US" w:eastAsia="zh-CN"/>
        </w:rPr>
        <w:t>灵珠副本内为行会战斗模式，除了本行会的成员，其他的玩家均为敌对玩家。且只要本行会的成员有一个获得了副本的结算奖励，则本次一起参与挑战的玩家均会获得副本的结算奖励。</w:t>
      </w:r>
    </w:p>
    <w:p w14:paraId="6BAF3EE4">
      <w:pPr>
        <w:numPr>
          <w:ilvl w:val="0"/>
          <w:numId w:val="3"/>
        </w:numPr>
        <w:ind w:left="425" w:leftChars="0" w:hanging="425" w:firstLineChars="0"/>
        <w:rPr>
          <w:rFonts w:hint="eastAsia"/>
          <w:lang w:val="en-US" w:eastAsia="zh-CN"/>
        </w:rPr>
      </w:pPr>
      <w:r>
        <w:rPr>
          <w:rFonts w:hint="eastAsia"/>
          <w:lang w:val="en-US" w:eastAsia="zh-CN"/>
        </w:rPr>
        <w:t>灵珠副本的进入限制有每日次数上限和角色战力要求两个条件，只有二者均满足才能进入副本。</w:t>
      </w:r>
    </w:p>
    <w:p w14:paraId="6267AED1">
      <w:pPr>
        <w:pStyle w:val="3"/>
        <w:numPr>
          <w:ilvl w:val="0"/>
          <w:numId w:val="1"/>
        </w:numPr>
        <w:bidi w:val="0"/>
        <w:ind w:left="0" w:leftChars="0" w:firstLine="420" w:firstLineChars="0"/>
        <w:rPr>
          <w:rFonts w:hint="eastAsia"/>
          <w:lang w:val="en-US" w:eastAsia="zh-CN"/>
        </w:rPr>
      </w:pPr>
      <w:bookmarkStart w:id="3" w:name="_Toc2171"/>
      <w:r>
        <w:rPr>
          <w:rFonts w:hint="eastAsia"/>
          <w:lang w:val="en-US" w:eastAsia="zh-CN"/>
        </w:rPr>
        <w:t>实现方式</w:t>
      </w:r>
      <w:bookmarkEnd w:id="3"/>
    </w:p>
    <w:p w14:paraId="053199BA">
      <w:pPr>
        <w:pStyle w:val="4"/>
        <w:bidi w:val="0"/>
        <w:rPr>
          <w:rFonts w:hint="eastAsia"/>
          <w:lang w:val="en-US" w:eastAsia="zh-CN"/>
        </w:rPr>
      </w:pPr>
      <w:bookmarkStart w:id="4" w:name="_Toc25374"/>
      <w:r>
        <w:rPr>
          <w:rFonts w:hint="eastAsia"/>
          <w:lang w:val="en-US" w:eastAsia="zh-CN"/>
        </w:rPr>
        <w:t>3.1 灵珠系统入口与界面</w:t>
      </w:r>
      <w:bookmarkEnd w:id="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95"/>
        <w:gridCol w:w="4327"/>
      </w:tblGrid>
      <w:tr w14:paraId="3B821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2"/>
          </w:tcPr>
          <w:p w14:paraId="39EE5490">
            <w:pPr>
              <w:rPr>
                <w:rFonts w:hint="default"/>
                <w:vertAlign w:val="baseline"/>
                <w:lang w:val="en-US" w:eastAsia="zh-CN"/>
              </w:rPr>
            </w:pPr>
            <w:r>
              <w:drawing>
                <wp:inline distT="0" distB="0" distL="114300" distR="114300">
                  <wp:extent cx="5270500" cy="290512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905125"/>
                          </a:xfrm>
                          <a:prstGeom prst="rect">
                            <a:avLst/>
                          </a:prstGeom>
                          <a:noFill/>
                          <a:ln>
                            <a:noFill/>
                          </a:ln>
                        </pic:spPr>
                      </pic:pic>
                    </a:graphicData>
                  </a:graphic>
                </wp:inline>
              </w:drawing>
            </w:r>
          </w:p>
        </w:tc>
      </w:tr>
      <w:tr w14:paraId="2BDFE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95" w:type="dxa"/>
          </w:tcPr>
          <w:p w14:paraId="59AFD2DB">
            <w:pPr>
              <w:rPr>
                <w:rFonts w:hint="default"/>
                <w:vertAlign w:val="baseline"/>
                <w:lang w:val="en-US" w:eastAsia="zh-CN"/>
              </w:rPr>
            </w:pPr>
            <w:r>
              <w:drawing>
                <wp:inline distT="0" distB="0" distL="114300" distR="114300">
                  <wp:extent cx="2480310" cy="1577975"/>
                  <wp:effectExtent l="0" t="0" r="1524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480310" cy="1577975"/>
                          </a:xfrm>
                          <a:prstGeom prst="rect">
                            <a:avLst/>
                          </a:prstGeom>
                          <a:noFill/>
                          <a:ln>
                            <a:noFill/>
                          </a:ln>
                        </pic:spPr>
                      </pic:pic>
                    </a:graphicData>
                  </a:graphic>
                </wp:inline>
              </w:drawing>
            </w:r>
          </w:p>
        </w:tc>
        <w:tc>
          <w:tcPr>
            <w:tcW w:w="4327" w:type="dxa"/>
          </w:tcPr>
          <w:p w14:paraId="1431D9C8">
            <w:pPr>
              <w:rPr>
                <w:rFonts w:hint="eastAsia"/>
                <w:vertAlign w:val="baseline"/>
                <w:lang w:val="en-US" w:eastAsia="zh-CN"/>
              </w:rPr>
            </w:pPr>
            <w:r>
              <w:rPr>
                <w:rFonts w:hint="eastAsia"/>
                <w:vertAlign w:val="baseline"/>
                <w:lang w:val="en-US" w:eastAsia="zh-CN"/>
              </w:rPr>
              <w:t>如左图所示，为点击安全区中NPC“灵珠尊者”之后打开的对话框界面：</w:t>
            </w:r>
          </w:p>
          <w:p w14:paraId="1FBCFD57">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界面提示语文字内容如图所示。</w:t>
            </w:r>
          </w:p>
          <w:p w14:paraId="40E26830">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点击“灵珠宝盒”按钮打开灵珠的穿戴详情界面。</w:t>
            </w:r>
          </w:p>
          <w:p w14:paraId="3FBE73A3">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点击“灵珠强化”按钮则打开灵珠的强化操作界面。</w:t>
            </w:r>
          </w:p>
        </w:tc>
      </w:tr>
      <w:tr w14:paraId="6ED60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95" w:type="dxa"/>
          </w:tcPr>
          <w:p w14:paraId="112E9B92">
            <w:pPr>
              <w:rPr>
                <w:rFonts w:hint="default"/>
                <w:vertAlign w:val="baseline"/>
                <w:lang w:val="en-US" w:eastAsia="zh-CN"/>
              </w:rPr>
            </w:pPr>
            <w:r>
              <w:drawing>
                <wp:inline distT="0" distB="0" distL="114300" distR="114300">
                  <wp:extent cx="2523490" cy="102870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523490" cy="1028700"/>
                          </a:xfrm>
                          <a:prstGeom prst="rect">
                            <a:avLst/>
                          </a:prstGeom>
                          <a:noFill/>
                          <a:ln>
                            <a:noFill/>
                          </a:ln>
                        </pic:spPr>
                      </pic:pic>
                    </a:graphicData>
                  </a:graphic>
                </wp:inline>
              </w:drawing>
            </w:r>
          </w:p>
        </w:tc>
        <w:tc>
          <w:tcPr>
            <w:tcW w:w="4327" w:type="dxa"/>
          </w:tcPr>
          <w:p w14:paraId="33D18CBE">
            <w:pPr>
              <w:rPr>
                <w:rFonts w:hint="eastAsia"/>
                <w:vertAlign w:val="baseline"/>
                <w:lang w:val="en-US" w:eastAsia="zh-CN"/>
              </w:rPr>
            </w:pPr>
            <w:r>
              <w:rPr>
                <w:rFonts w:hint="eastAsia"/>
                <w:vertAlign w:val="baseline"/>
                <w:lang w:val="en-US" w:eastAsia="zh-CN"/>
              </w:rPr>
              <w:t>如左图所示，为“灵珠宝盒”界面</w:t>
            </w:r>
          </w:p>
          <w:p w14:paraId="73AAC6DB">
            <w:pPr>
              <w:numPr>
                <w:ilvl w:val="0"/>
                <w:numId w:val="5"/>
              </w:numPr>
              <w:ind w:left="425" w:leftChars="0" w:hanging="425" w:firstLineChars="0"/>
              <w:rPr>
                <w:rFonts w:hint="default"/>
                <w:vertAlign w:val="baseline"/>
                <w:lang w:val="en-US" w:eastAsia="zh-CN"/>
              </w:rPr>
            </w:pPr>
            <w:r>
              <w:rPr>
                <w:rFonts w:hint="eastAsia"/>
                <w:vertAlign w:val="baseline"/>
                <w:lang w:val="en-US" w:eastAsia="zh-CN"/>
              </w:rPr>
              <w:t>该界面打开的同时需要在旁边打开12生肖的穿戴界面。</w:t>
            </w:r>
          </w:p>
          <w:p w14:paraId="5F87D05F">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点击“全部卸下”则将当前已经穿戴的灵珠全部卸下到角色包裹。</w:t>
            </w:r>
          </w:p>
          <w:p w14:paraId="04BB7C9B">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点击“快捷穿戴”则自动将当前所持有的同槽位最高品质和星级的灵珠进行穿戴替换。</w:t>
            </w:r>
          </w:p>
          <w:p w14:paraId="390E33A4">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点击“灵珠回收”则打开灵珠回收的功能界面，详见下文所述。</w:t>
            </w:r>
          </w:p>
        </w:tc>
      </w:tr>
      <w:tr w14:paraId="3059E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95" w:type="dxa"/>
          </w:tcPr>
          <w:p w14:paraId="5A3C62A8">
            <w:pPr>
              <w:rPr>
                <w:rFonts w:hint="default"/>
                <w:vertAlign w:val="baseline"/>
                <w:lang w:val="en-US" w:eastAsia="zh-CN"/>
              </w:rPr>
            </w:pPr>
            <w:r>
              <w:drawing>
                <wp:inline distT="0" distB="0" distL="114300" distR="114300">
                  <wp:extent cx="2522855" cy="1604645"/>
                  <wp:effectExtent l="0" t="0" r="10795"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522855" cy="1604645"/>
                          </a:xfrm>
                          <a:prstGeom prst="rect">
                            <a:avLst/>
                          </a:prstGeom>
                          <a:noFill/>
                          <a:ln>
                            <a:noFill/>
                          </a:ln>
                        </pic:spPr>
                      </pic:pic>
                    </a:graphicData>
                  </a:graphic>
                </wp:inline>
              </w:drawing>
            </w:r>
          </w:p>
        </w:tc>
        <w:tc>
          <w:tcPr>
            <w:tcW w:w="4327" w:type="dxa"/>
          </w:tcPr>
          <w:p w14:paraId="65EC6B6A">
            <w:pPr>
              <w:rPr>
                <w:rFonts w:hint="eastAsia"/>
                <w:vertAlign w:val="baseline"/>
                <w:lang w:val="en-US" w:eastAsia="zh-CN"/>
              </w:rPr>
            </w:pPr>
            <w:r>
              <w:rPr>
                <w:rFonts w:hint="eastAsia"/>
                <w:vertAlign w:val="baseline"/>
                <w:lang w:val="en-US" w:eastAsia="zh-CN"/>
              </w:rPr>
              <w:t>如左图所示，为灵珠回收的界面：</w:t>
            </w:r>
          </w:p>
          <w:p w14:paraId="51FD55CC">
            <w:pPr>
              <w:numPr>
                <w:ilvl w:val="0"/>
                <w:numId w:val="6"/>
              </w:numPr>
              <w:ind w:left="425" w:leftChars="0" w:hanging="425" w:firstLineChars="0"/>
              <w:rPr>
                <w:rFonts w:hint="default"/>
                <w:vertAlign w:val="baseline"/>
                <w:lang w:val="en-US" w:eastAsia="zh-CN"/>
              </w:rPr>
            </w:pPr>
            <w:r>
              <w:rPr>
                <w:rFonts w:hint="eastAsia"/>
                <w:vertAlign w:val="baseline"/>
                <w:lang w:val="en-US" w:eastAsia="zh-CN"/>
              </w:rPr>
              <w:t>界面提示语内容如图所示。</w:t>
            </w:r>
          </w:p>
          <w:p w14:paraId="716DAC72">
            <w:pPr>
              <w:numPr>
                <w:ilvl w:val="0"/>
                <w:numId w:val="6"/>
              </w:numPr>
              <w:ind w:left="425" w:leftChars="0" w:hanging="425" w:firstLineChars="0"/>
              <w:rPr>
                <w:rFonts w:hint="default"/>
                <w:vertAlign w:val="baseline"/>
                <w:lang w:val="en-US" w:eastAsia="zh-CN"/>
              </w:rPr>
            </w:pPr>
            <w:r>
              <w:rPr>
                <w:rFonts w:hint="eastAsia"/>
                <w:vertAlign w:val="baseline"/>
                <w:lang w:val="en-US" w:eastAsia="zh-CN"/>
              </w:rPr>
              <w:t>该界面的所有勾选项均为多选，默认的勾选内容如图所示。</w:t>
            </w:r>
          </w:p>
          <w:p w14:paraId="12629BD0">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勾选了对应的自动回收选项之后，则在玩家获得了对应的灵珠之后就会自动将其分解。</w:t>
            </w:r>
          </w:p>
          <w:p w14:paraId="433A006E">
            <w:pPr>
              <w:numPr>
                <w:ilvl w:val="0"/>
                <w:numId w:val="6"/>
              </w:numPr>
              <w:ind w:left="425" w:leftChars="0" w:hanging="425" w:firstLineChars="0"/>
              <w:rPr>
                <w:rFonts w:hint="default"/>
                <w:vertAlign w:val="baseline"/>
                <w:lang w:val="en-US" w:eastAsia="zh-CN"/>
              </w:rPr>
            </w:pPr>
            <w:r>
              <w:rPr>
                <w:rFonts w:hint="eastAsia"/>
                <w:vertAlign w:val="baseline"/>
                <w:lang w:val="en-US" w:eastAsia="zh-CN"/>
              </w:rPr>
              <w:t>保留比已穿戴灵珠好的灵珠选项意思为即使勾选了对应品质的灵珠自动分解，但如果所获得的灵珠比当前已穿戴的好（品质高&amp;星级高），则也不会自动分解。</w:t>
            </w:r>
          </w:p>
        </w:tc>
      </w:tr>
    </w:tbl>
    <w:p w14:paraId="235CCE2E">
      <w:pPr>
        <w:pStyle w:val="5"/>
        <w:numPr>
          <w:ilvl w:val="2"/>
          <w:numId w:val="4"/>
        </w:numPr>
        <w:bidi w:val="0"/>
        <w:rPr>
          <w:rFonts w:hint="eastAsia"/>
          <w:lang w:val="en-US" w:eastAsia="zh-CN"/>
        </w:rPr>
      </w:pPr>
      <w:bookmarkStart w:id="5" w:name="_Toc4239"/>
      <w:r>
        <w:rPr>
          <w:rFonts w:hint="eastAsia"/>
          <w:lang w:val="en-US" w:eastAsia="zh-CN"/>
        </w:rPr>
        <w:t>灵珠装备详情页</w:t>
      </w:r>
      <w:bookmarkEnd w:id="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7676A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5A5FAC2A">
            <w:pPr>
              <w:numPr>
                <w:numId w:val="0"/>
              </w:numPr>
              <w:rPr>
                <w:rFonts w:hint="default"/>
                <w:vertAlign w:val="baseline"/>
                <w:lang w:val="en-US" w:eastAsia="zh-CN"/>
              </w:rPr>
            </w:pPr>
            <w:r>
              <w:drawing>
                <wp:inline distT="0" distB="0" distL="114300" distR="114300">
                  <wp:extent cx="2433955" cy="3589655"/>
                  <wp:effectExtent l="0" t="0" r="444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2433955" cy="3589655"/>
                          </a:xfrm>
                          <a:prstGeom prst="rect">
                            <a:avLst/>
                          </a:prstGeom>
                          <a:noFill/>
                          <a:ln>
                            <a:noFill/>
                          </a:ln>
                        </pic:spPr>
                      </pic:pic>
                    </a:graphicData>
                  </a:graphic>
                </wp:inline>
              </w:drawing>
            </w:r>
          </w:p>
        </w:tc>
        <w:tc>
          <w:tcPr>
            <w:tcW w:w="4261" w:type="dxa"/>
          </w:tcPr>
          <w:p w14:paraId="4BD0C62A">
            <w:pPr>
              <w:numPr>
                <w:numId w:val="0"/>
              </w:numPr>
              <w:rPr>
                <w:rFonts w:hint="eastAsia"/>
                <w:vertAlign w:val="baseline"/>
                <w:lang w:val="en-US" w:eastAsia="zh-CN"/>
              </w:rPr>
            </w:pPr>
            <w:r>
              <w:rPr>
                <w:rFonts w:hint="eastAsia"/>
                <w:vertAlign w:val="baseline"/>
                <w:lang w:val="en-US" w:eastAsia="zh-CN"/>
              </w:rPr>
              <w:t>如左图所示，为点击12生肖界面上已经穿戴的灵珠图标之后所弹出的详情页内容：</w:t>
            </w:r>
          </w:p>
          <w:p w14:paraId="5208B577">
            <w:pPr>
              <w:numPr>
                <w:ilvl w:val="0"/>
                <w:numId w:val="7"/>
              </w:numPr>
              <w:ind w:left="425" w:leftChars="0" w:hanging="425" w:firstLineChars="0"/>
              <w:rPr>
                <w:rFonts w:hint="default"/>
                <w:vertAlign w:val="baseline"/>
                <w:lang w:val="en-US" w:eastAsia="zh-CN"/>
              </w:rPr>
            </w:pPr>
            <w:r>
              <w:rPr>
                <w:rFonts w:hint="eastAsia"/>
                <w:vertAlign w:val="baseline"/>
                <w:lang w:val="en-US" w:eastAsia="zh-CN"/>
              </w:rPr>
              <w:t>灵珠名称同其品质颜色。</w:t>
            </w:r>
          </w:p>
          <w:p w14:paraId="076C4456">
            <w:pPr>
              <w:numPr>
                <w:ilvl w:val="0"/>
                <w:numId w:val="7"/>
              </w:numPr>
              <w:ind w:left="425" w:leftChars="0" w:hanging="425" w:firstLineChars="0"/>
              <w:rPr>
                <w:rFonts w:hint="default"/>
                <w:vertAlign w:val="baseline"/>
                <w:lang w:val="en-US" w:eastAsia="zh-CN"/>
              </w:rPr>
            </w:pPr>
            <w:r>
              <w:rPr>
                <w:rFonts w:hint="eastAsia"/>
                <w:vertAlign w:val="baseline"/>
                <w:lang w:val="en-US" w:eastAsia="zh-CN"/>
              </w:rPr>
              <w:t>等级限制为角色达到对应等级才能穿戴的限制。</w:t>
            </w:r>
          </w:p>
          <w:p w14:paraId="095B2384">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星级与其名称中的星对应，为灵珠获得时即确定的星星数量。</w:t>
            </w:r>
          </w:p>
          <w:p w14:paraId="7EDAE0A6">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基础属性为灵珠本身自带的属性。</w:t>
            </w:r>
          </w:p>
          <w:p w14:paraId="389EB461">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强化属性为灵珠槽位强化所带来的属性。</w:t>
            </w:r>
          </w:p>
          <w:p w14:paraId="7CD309C2">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套装属性则只针对已经穿戴的灵珠才能判断激活。已激活的属性文字用绿色显示，反之，则用灰色显示。</w:t>
            </w:r>
          </w:p>
          <w:p w14:paraId="5A31BC6F">
            <w:pPr>
              <w:numPr>
                <w:ilvl w:val="0"/>
                <w:numId w:val="7"/>
              </w:numPr>
              <w:ind w:left="425" w:leftChars="0" w:hanging="425" w:firstLineChars="0"/>
              <w:rPr>
                <w:rFonts w:hint="default"/>
                <w:vertAlign w:val="baseline"/>
                <w:lang w:val="en-US" w:eastAsia="zh-CN"/>
              </w:rPr>
            </w:pPr>
            <w:r>
              <w:rPr>
                <w:rFonts w:hint="eastAsia"/>
                <w:vertAlign w:val="baseline"/>
                <w:lang w:val="en-US" w:eastAsia="zh-CN"/>
              </w:rPr>
              <w:t>灵珠的套装属性分为：3、6、9、12四种套装属性，套装属性为累计计算，即如果同时激活了3件套和6件套属性，则当前角色应该把3、6件套的属性都加成，而不是6件套属性覆盖掉3件套属性。</w:t>
            </w:r>
          </w:p>
          <w:p w14:paraId="6E47EFA2">
            <w:pPr>
              <w:numPr>
                <w:ilvl w:val="0"/>
                <w:numId w:val="7"/>
              </w:numPr>
              <w:ind w:left="425" w:leftChars="0" w:hanging="425" w:firstLineChars="0"/>
              <w:rPr>
                <w:rFonts w:hint="default"/>
                <w:vertAlign w:val="baseline"/>
                <w:lang w:val="en-US" w:eastAsia="zh-CN"/>
              </w:rPr>
            </w:pPr>
            <w:r>
              <w:rPr>
                <w:rFonts w:hint="eastAsia"/>
                <w:vertAlign w:val="baseline"/>
                <w:lang w:val="en-US" w:eastAsia="zh-CN"/>
              </w:rPr>
              <w:t>点击卸下按钮则将对应灵珠从槽位上卸下到包裹中。</w:t>
            </w:r>
          </w:p>
        </w:tc>
      </w:tr>
      <w:tr w14:paraId="7FBDA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86CE966">
            <w:pPr>
              <w:numPr>
                <w:numId w:val="0"/>
              </w:numPr>
              <w:rPr>
                <w:rFonts w:hint="default"/>
                <w:vertAlign w:val="baseline"/>
                <w:lang w:val="en-US" w:eastAsia="zh-CN"/>
              </w:rPr>
            </w:pPr>
            <w:r>
              <w:drawing>
                <wp:inline distT="0" distB="0" distL="114300" distR="114300">
                  <wp:extent cx="2292985" cy="3363595"/>
                  <wp:effectExtent l="0" t="0" r="12065"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292985" cy="3363595"/>
                          </a:xfrm>
                          <a:prstGeom prst="rect">
                            <a:avLst/>
                          </a:prstGeom>
                          <a:noFill/>
                          <a:ln>
                            <a:noFill/>
                          </a:ln>
                        </pic:spPr>
                      </pic:pic>
                    </a:graphicData>
                  </a:graphic>
                </wp:inline>
              </w:drawing>
            </w:r>
          </w:p>
        </w:tc>
        <w:tc>
          <w:tcPr>
            <w:tcW w:w="4261" w:type="dxa"/>
          </w:tcPr>
          <w:p w14:paraId="28D7DC42">
            <w:pPr>
              <w:numPr>
                <w:numId w:val="0"/>
              </w:numPr>
              <w:rPr>
                <w:rFonts w:hint="eastAsia"/>
                <w:vertAlign w:val="baseline"/>
                <w:lang w:val="en-US" w:eastAsia="zh-CN"/>
              </w:rPr>
            </w:pPr>
            <w:r>
              <w:rPr>
                <w:rFonts w:hint="eastAsia"/>
                <w:vertAlign w:val="baseline"/>
                <w:lang w:val="en-US" w:eastAsia="zh-CN"/>
              </w:rPr>
              <w:t>如左图所示，为点击角色包裹中的灵珠图标之后弹出的详情页：</w:t>
            </w:r>
          </w:p>
          <w:p w14:paraId="6802B8A5">
            <w:pPr>
              <w:numPr>
                <w:numId w:val="0"/>
              </w:numPr>
              <w:rPr>
                <w:rFonts w:hint="eastAsia"/>
                <w:vertAlign w:val="baseline"/>
                <w:lang w:val="en-US" w:eastAsia="zh-CN"/>
              </w:rPr>
            </w:pPr>
          </w:p>
          <w:p w14:paraId="24ADD58C">
            <w:pPr>
              <w:numPr>
                <w:ilvl w:val="0"/>
                <w:numId w:val="8"/>
              </w:numPr>
              <w:ind w:left="425" w:leftChars="0" w:hanging="425" w:firstLineChars="0"/>
              <w:rPr>
                <w:rFonts w:hint="default"/>
                <w:vertAlign w:val="baseline"/>
                <w:lang w:val="en-US" w:eastAsia="zh-CN"/>
              </w:rPr>
            </w:pPr>
            <w:r>
              <w:rPr>
                <w:rFonts w:hint="eastAsia"/>
                <w:vertAlign w:val="baseline"/>
                <w:lang w:val="en-US" w:eastAsia="zh-CN"/>
              </w:rPr>
              <w:t>与身上已穿戴的灵珠不同的是，其套装属性由于没有穿戴所以颜色均为灰色。</w:t>
            </w:r>
          </w:p>
          <w:p w14:paraId="22A5D2EC">
            <w:pPr>
              <w:numPr>
                <w:ilvl w:val="0"/>
                <w:numId w:val="8"/>
              </w:numPr>
              <w:ind w:left="425" w:leftChars="0" w:hanging="425" w:firstLineChars="0"/>
              <w:rPr>
                <w:rFonts w:hint="default"/>
                <w:vertAlign w:val="baseline"/>
                <w:lang w:val="en-US" w:eastAsia="zh-CN"/>
              </w:rPr>
            </w:pPr>
            <w:r>
              <w:rPr>
                <w:rFonts w:hint="eastAsia"/>
                <w:vertAlign w:val="baseline"/>
                <w:lang w:val="en-US" w:eastAsia="zh-CN"/>
              </w:rPr>
              <w:t>操作按钮为“穿戴”，点击之后则将该灵珠穿戴在对应槽位上。</w:t>
            </w:r>
          </w:p>
          <w:p w14:paraId="7B46F35C">
            <w:pPr>
              <w:numPr>
                <w:ilvl w:val="0"/>
                <w:numId w:val="8"/>
              </w:numPr>
              <w:ind w:left="425" w:leftChars="0" w:hanging="425" w:firstLineChars="0"/>
              <w:rPr>
                <w:rFonts w:hint="default"/>
                <w:vertAlign w:val="baseline"/>
                <w:lang w:val="en-US" w:eastAsia="zh-CN"/>
              </w:rPr>
            </w:pPr>
            <w:r>
              <w:rPr>
                <w:rFonts w:hint="eastAsia"/>
                <w:vertAlign w:val="baseline"/>
                <w:lang w:val="en-US" w:eastAsia="zh-CN"/>
              </w:rPr>
              <w:t>如果对应槽位已经有了灵珠，则“穿戴”按钮显示为“替换”，详见下图所示。</w:t>
            </w:r>
          </w:p>
        </w:tc>
      </w:tr>
      <w:tr w14:paraId="451ED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6E87041">
            <w:pPr>
              <w:numPr>
                <w:numId w:val="0"/>
              </w:numPr>
              <w:rPr>
                <w:rFonts w:hint="default"/>
                <w:vertAlign w:val="baseline"/>
                <w:lang w:val="en-US" w:eastAsia="zh-CN"/>
              </w:rPr>
            </w:pPr>
            <w:r>
              <w:drawing>
                <wp:inline distT="0" distB="0" distL="114300" distR="114300">
                  <wp:extent cx="2304415" cy="1878965"/>
                  <wp:effectExtent l="0" t="0" r="63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2304415" cy="1878965"/>
                          </a:xfrm>
                          <a:prstGeom prst="rect">
                            <a:avLst/>
                          </a:prstGeom>
                          <a:noFill/>
                          <a:ln>
                            <a:noFill/>
                          </a:ln>
                        </pic:spPr>
                      </pic:pic>
                    </a:graphicData>
                  </a:graphic>
                </wp:inline>
              </w:drawing>
            </w:r>
          </w:p>
        </w:tc>
        <w:tc>
          <w:tcPr>
            <w:tcW w:w="4261" w:type="dxa"/>
          </w:tcPr>
          <w:p w14:paraId="77E0BE1B">
            <w:pPr>
              <w:numPr>
                <w:numId w:val="0"/>
              </w:numPr>
              <w:rPr>
                <w:rFonts w:hint="eastAsia"/>
                <w:vertAlign w:val="baseline"/>
                <w:lang w:val="en-US" w:eastAsia="zh-CN"/>
              </w:rPr>
            </w:pPr>
            <w:r>
              <w:rPr>
                <w:rFonts w:hint="eastAsia"/>
                <w:vertAlign w:val="baseline"/>
                <w:lang w:val="en-US" w:eastAsia="zh-CN"/>
              </w:rPr>
              <w:t>如左图所示，为点击包裹中的灵珠道具，且当前对应槽位已穿戴了灵珠之后所弹出的详情页显示：</w:t>
            </w:r>
          </w:p>
          <w:p w14:paraId="6838E7AF">
            <w:pPr>
              <w:numPr>
                <w:ilvl w:val="0"/>
                <w:numId w:val="9"/>
              </w:numPr>
              <w:ind w:left="425" w:leftChars="0" w:hanging="425" w:firstLineChars="0"/>
              <w:rPr>
                <w:rFonts w:hint="default"/>
                <w:vertAlign w:val="baseline"/>
                <w:lang w:val="en-US" w:eastAsia="zh-CN"/>
              </w:rPr>
            </w:pPr>
            <w:r>
              <w:rPr>
                <w:rFonts w:hint="eastAsia"/>
                <w:vertAlign w:val="baseline"/>
                <w:lang w:val="en-US" w:eastAsia="zh-CN"/>
              </w:rPr>
              <w:t>左侧显示穿戴中的灵珠；右侧显示当前点击的灵珠。</w:t>
            </w:r>
          </w:p>
          <w:p w14:paraId="6CD455A0">
            <w:pPr>
              <w:numPr>
                <w:ilvl w:val="0"/>
                <w:numId w:val="9"/>
              </w:numPr>
              <w:ind w:left="425" w:leftChars="0" w:hanging="425" w:firstLineChars="0"/>
              <w:rPr>
                <w:rFonts w:hint="default"/>
                <w:vertAlign w:val="baseline"/>
                <w:lang w:val="en-US" w:eastAsia="zh-CN"/>
              </w:rPr>
            </w:pPr>
            <w:r>
              <w:rPr>
                <w:rFonts w:hint="eastAsia"/>
                <w:vertAlign w:val="baseline"/>
                <w:lang w:val="en-US" w:eastAsia="zh-CN"/>
              </w:rPr>
              <w:t>当前点击的灵珠详情页上的操作按钮变为：替换。点击之后，则替换掉当前穿戴中的灵珠。</w:t>
            </w:r>
          </w:p>
        </w:tc>
      </w:tr>
    </w:tbl>
    <w:p w14:paraId="3F5D52D5">
      <w:pPr>
        <w:pStyle w:val="4"/>
        <w:numPr>
          <w:ilvl w:val="1"/>
          <w:numId w:val="4"/>
        </w:numPr>
        <w:bidi w:val="0"/>
        <w:ind w:left="0" w:leftChars="0" w:firstLine="0" w:firstLineChars="0"/>
        <w:rPr>
          <w:rFonts w:hint="eastAsia"/>
          <w:lang w:val="en-US" w:eastAsia="zh-CN"/>
        </w:rPr>
      </w:pPr>
      <w:bookmarkStart w:id="6" w:name="_Toc14368"/>
      <w:r>
        <w:rPr>
          <w:rFonts w:hint="eastAsia"/>
          <w:lang w:val="en-US" w:eastAsia="zh-CN"/>
        </w:rPr>
        <w:t>灵珠强化</w:t>
      </w:r>
      <w:bookmarkEnd w:id="6"/>
    </w:p>
    <w:p w14:paraId="2EBDDD03">
      <w:pPr>
        <w:numPr>
          <w:numId w:val="0"/>
        </w:numPr>
        <w:ind w:leftChars="0"/>
        <w:rPr>
          <w:rFonts w:hint="eastAsia"/>
          <w:lang w:val="en-US" w:eastAsia="zh-CN"/>
        </w:rPr>
      </w:pPr>
      <w:r>
        <w:rPr>
          <w:rFonts w:hint="eastAsia"/>
          <w:lang w:val="en-US" w:eastAsia="zh-CN"/>
        </w:rPr>
        <w:t>灵珠强化的操作规则与装备强化相同，均为对槽位进行的强化，只有对应槽位上穿戴了灵珠，则强化属性才会加成到角色身上，反之，则不生效。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506"/>
        <w:gridCol w:w="4016"/>
      </w:tblGrid>
      <w:tr w14:paraId="5B52C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6" w:type="dxa"/>
          </w:tcPr>
          <w:p w14:paraId="138F7209">
            <w:pPr>
              <w:numPr>
                <w:numId w:val="0"/>
              </w:numPr>
              <w:rPr>
                <w:rFonts w:hint="default"/>
                <w:vertAlign w:val="baseline"/>
                <w:lang w:val="en-US" w:eastAsia="zh-CN"/>
              </w:rPr>
            </w:pPr>
            <w:r>
              <w:drawing>
                <wp:inline distT="0" distB="0" distL="114300" distR="114300">
                  <wp:extent cx="2609215" cy="1659890"/>
                  <wp:effectExtent l="0" t="0" r="635" b="165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2609215" cy="1659890"/>
                          </a:xfrm>
                          <a:prstGeom prst="rect">
                            <a:avLst/>
                          </a:prstGeom>
                          <a:noFill/>
                          <a:ln>
                            <a:noFill/>
                          </a:ln>
                        </pic:spPr>
                      </pic:pic>
                    </a:graphicData>
                  </a:graphic>
                </wp:inline>
              </w:drawing>
            </w:r>
          </w:p>
        </w:tc>
        <w:tc>
          <w:tcPr>
            <w:tcW w:w="4016" w:type="dxa"/>
          </w:tcPr>
          <w:p w14:paraId="1274CFBB">
            <w:pPr>
              <w:numPr>
                <w:numId w:val="0"/>
              </w:numPr>
              <w:rPr>
                <w:rFonts w:hint="eastAsia"/>
                <w:vertAlign w:val="baseline"/>
                <w:lang w:val="en-US" w:eastAsia="zh-CN"/>
              </w:rPr>
            </w:pPr>
            <w:r>
              <w:rPr>
                <w:rFonts w:hint="eastAsia"/>
                <w:vertAlign w:val="baseline"/>
                <w:lang w:val="en-US" w:eastAsia="zh-CN"/>
              </w:rPr>
              <w:t>如左图所示，为点击“灵珠强化”之后所弹出的第二层界面：</w:t>
            </w:r>
          </w:p>
          <w:p w14:paraId="77EF71B2">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显示内容如图所示，显示的方式和操作逻辑与装备强化相同，不再赘述。</w:t>
            </w:r>
          </w:p>
        </w:tc>
      </w:tr>
      <w:tr w14:paraId="4CB5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6" w:type="dxa"/>
          </w:tcPr>
          <w:p w14:paraId="48CBE2FF">
            <w:pPr>
              <w:numPr>
                <w:numId w:val="0"/>
              </w:numPr>
              <w:rPr>
                <w:rFonts w:hint="default"/>
                <w:vertAlign w:val="baseline"/>
                <w:lang w:val="en-US" w:eastAsia="zh-CN"/>
              </w:rPr>
            </w:pPr>
            <w:r>
              <w:drawing>
                <wp:inline distT="0" distB="0" distL="114300" distR="114300">
                  <wp:extent cx="2724150" cy="1729740"/>
                  <wp:effectExtent l="0" t="0" r="0"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2724150" cy="1729740"/>
                          </a:xfrm>
                          <a:prstGeom prst="rect">
                            <a:avLst/>
                          </a:prstGeom>
                          <a:noFill/>
                          <a:ln>
                            <a:noFill/>
                          </a:ln>
                        </pic:spPr>
                      </pic:pic>
                    </a:graphicData>
                  </a:graphic>
                </wp:inline>
              </w:drawing>
            </w:r>
          </w:p>
        </w:tc>
        <w:tc>
          <w:tcPr>
            <w:tcW w:w="4016" w:type="dxa"/>
          </w:tcPr>
          <w:p w14:paraId="3257164B">
            <w:pPr>
              <w:numPr>
                <w:numId w:val="0"/>
              </w:numPr>
              <w:rPr>
                <w:rFonts w:hint="eastAsia"/>
                <w:vertAlign w:val="baseline"/>
                <w:lang w:val="en-US" w:eastAsia="zh-CN"/>
              </w:rPr>
            </w:pPr>
            <w:r>
              <w:rPr>
                <w:rFonts w:hint="eastAsia"/>
                <w:vertAlign w:val="baseline"/>
                <w:lang w:val="en-US" w:eastAsia="zh-CN"/>
              </w:rPr>
              <w:t>如左图所示，为点击上图中具体的槽位之后，所弹出的对应槽位的强化操作界面：</w:t>
            </w:r>
          </w:p>
          <w:p w14:paraId="0E092350">
            <w:pPr>
              <w:numPr>
                <w:ilvl w:val="0"/>
                <w:numId w:val="11"/>
              </w:numPr>
              <w:ind w:left="425" w:leftChars="0" w:hanging="425" w:firstLineChars="0"/>
              <w:rPr>
                <w:rFonts w:hint="default"/>
                <w:vertAlign w:val="baseline"/>
                <w:lang w:val="en-US" w:eastAsia="zh-CN"/>
              </w:rPr>
            </w:pPr>
            <w:r>
              <w:rPr>
                <w:rFonts w:hint="eastAsia"/>
                <w:vertAlign w:val="baseline"/>
                <w:lang w:val="en-US" w:eastAsia="zh-CN"/>
              </w:rPr>
              <w:t>操作逻辑与显示方式与装备强化相同，不再赘述。</w:t>
            </w:r>
          </w:p>
        </w:tc>
      </w:tr>
      <w:tr w14:paraId="63447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6" w:type="dxa"/>
          </w:tcPr>
          <w:p w14:paraId="27CDC34D">
            <w:pPr>
              <w:numPr>
                <w:numId w:val="0"/>
              </w:numPr>
              <w:rPr>
                <w:rFonts w:hint="default"/>
                <w:vertAlign w:val="baseline"/>
                <w:lang w:val="en-US" w:eastAsia="zh-CN"/>
              </w:rPr>
            </w:pPr>
            <w:r>
              <w:drawing>
                <wp:inline distT="0" distB="0" distL="114300" distR="114300">
                  <wp:extent cx="2705100" cy="1717675"/>
                  <wp:effectExtent l="0" t="0" r="0" b="158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2705100" cy="1717675"/>
                          </a:xfrm>
                          <a:prstGeom prst="rect">
                            <a:avLst/>
                          </a:prstGeom>
                          <a:noFill/>
                          <a:ln>
                            <a:noFill/>
                          </a:ln>
                        </pic:spPr>
                      </pic:pic>
                    </a:graphicData>
                  </a:graphic>
                </wp:inline>
              </w:drawing>
            </w:r>
          </w:p>
        </w:tc>
        <w:tc>
          <w:tcPr>
            <w:tcW w:w="4016" w:type="dxa"/>
          </w:tcPr>
          <w:p w14:paraId="617807DA">
            <w:pPr>
              <w:numPr>
                <w:numId w:val="0"/>
              </w:numPr>
              <w:rPr>
                <w:rFonts w:hint="default"/>
                <w:vertAlign w:val="baseline"/>
                <w:lang w:val="en-US" w:eastAsia="zh-CN"/>
              </w:rPr>
            </w:pPr>
            <w:r>
              <w:rPr>
                <w:rFonts w:hint="eastAsia"/>
                <w:vertAlign w:val="baseline"/>
                <w:lang w:val="en-US" w:eastAsia="zh-CN"/>
              </w:rPr>
              <w:t>如左图所示，为强化达到当前等级上限时的界面显示方式，与装备强化相同。</w:t>
            </w:r>
          </w:p>
        </w:tc>
      </w:tr>
    </w:tbl>
    <w:p w14:paraId="5CB8B8CF">
      <w:pPr>
        <w:pStyle w:val="4"/>
        <w:numPr>
          <w:ilvl w:val="1"/>
          <w:numId w:val="4"/>
        </w:numPr>
        <w:bidi w:val="0"/>
        <w:ind w:left="0" w:leftChars="0" w:firstLine="0" w:firstLineChars="0"/>
        <w:rPr>
          <w:rFonts w:hint="eastAsia"/>
          <w:lang w:val="en-US" w:eastAsia="zh-CN"/>
        </w:rPr>
      </w:pPr>
      <w:bookmarkStart w:id="7" w:name="_Toc14833"/>
      <w:r>
        <w:rPr>
          <w:rFonts w:hint="eastAsia"/>
          <w:lang w:val="en-US" w:eastAsia="zh-CN"/>
        </w:rPr>
        <w:t>灵珠副本</w:t>
      </w:r>
      <w:bookmarkEnd w:id="7"/>
    </w:p>
    <w:p w14:paraId="1307160C">
      <w:pPr>
        <w:numPr>
          <w:numId w:val="0"/>
        </w:numPr>
        <w:ind w:leftChars="0"/>
        <w:rPr>
          <w:rFonts w:hint="default"/>
          <w:lang w:val="en-US" w:eastAsia="zh-CN"/>
        </w:rPr>
      </w:pPr>
      <w:r>
        <w:rPr>
          <w:rFonts w:hint="eastAsia"/>
          <w:lang w:val="en-US" w:eastAsia="zh-CN"/>
        </w:rPr>
        <w:t>灵珠副本的打开方式为点击安全区的传送光圈NPC“灵珠副本”之后打开副本进入的界面，如下所述。</w:t>
      </w:r>
      <w:r>
        <w:rPr>
          <w:rFonts w:hint="eastAsia"/>
          <w:highlight w:val="yellow"/>
          <w:lang w:val="en-US" w:eastAsia="zh-CN"/>
        </w:rPr>
        <w:t>特别说明：灵珠副本为全服副本，状态为全服玩家均可见且同步的</w:t>
      </w:r>
      <w:r>
        <w:rPr>
          <w:rFonts w:hint="eastAsia"/>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356"/>
        <w:gridCol w:w="4166"/>
      </w:tblGrid>
      <w:tr w14:paraId="101EF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2870E6A">
            <w:pPr>
              <w:numPr>
                <w:numId w:val="0"/>
              </w:numPr>
              <w:rPr>
                <w:rFonts w:hint="default"/>
                <w:vertAlign w:val="baseline"/>
                <w:lang w:val="en-US" w:eastAsia="zh-CN"/>
              </w:rPr>
            </w:pPr>
            <w:r>
              <w:drawing>
                <wp:inline distT="0" distB="0" distL="114300" distR="114300">
                  <wp:extent cx="2619375" cy="1740535"/>
                  <wp:effectExtent l="0" t="0" r="952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2619375" cy="1740535"/>
                          </a:xfrm>
                          <a:prstGeom prst="rect">
                            <a:avLst/>
                          </a:prstGeom>
                          <a:noFill/>
                          <a:ln>
                            <a:noFill/>
                          </a:ln>
                        </pic:spPr>
                      </pic:pic>
                    </a:graphicData>
                  </a:graphic>
                </wp:inline>
              </w:drawing>
            </w:r>
          </w:p>
        </w:tc>
        <w:tc>
          <w:tcPr>
            <w:tcW w:w="4261" w:type="dxa"/>
          </w:tcPr>
          <w:p w14:paraId="29084A2F">
            <w:pPr>
              <w:numPr>
                <w:numId w:val="0"/>
              </w:numPr>
              <w:rPr>
                <w:rFonts w:hint="eastAsia"/>
                <w:vertAlign w:val="baseline"/>
                <w:lang w:val="en-US" w:eastAsia="zh-CN"/>
              </w:rPr>
            </w:pPr>
            <w:r>
              <w:rPr>
                <w:rFonts w:hint="eastAsia"/>
                <w:vertAlign w:val="baseline"/>
                <w:lang w:val="en-US" w:eastAsia="zh-CN"/>
              </w:rPr>
              <w:t>如左图所示，点击光圈NPC之后打开的界面：</w:t>
            </w:r>
          </w:p>
          <w:p w14:paraId="0D1C3874">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界面的提示语内容如图所示。</w:t>
            </w:r>
          </w:p>
          <w:p w14:paraId="499EA5A6">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今日可挑战显示今日玩家可以进入的总次数，显示方式为{今日剩余次数/今日次数上限}，每天0点重置。该次数为所有灵珠副本公用的次数。</w:t>
            </w:r>
          </w:p>
          <w:p w14:paraId="5C13CFE1">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不同的灵珠副本均显示对应副本的boss名称、奖励介绍和副本状态。</w:t>
            </w:r>
          </w:p>
          <w:p w14:paraId="22527F5B">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副本状态共有四种：首领复活中、可挑战、角色战力不足、进入冷却。</w:t>
            </w:r>
          </w:p>
        </w:tc>
      </w:tr>
      <w:tr w14:paraId="3C066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26DB1DD">
            <w:pPr>
              <w:numPr>
                <w:numId w:val="0"/>
              </w:numPr>
              <w:rPr>
                <w:rFonts w:hint="default"/>
                <w:vertAlign w:val="baseline"/>
                <w:lang w:val="en-US" w:eastAsia="zh-CN"/>
              </w:rPr>
            </w:pPr>
            <w:r>
              <w:drawing>
                <wp:inline distT="0" distB="0" distL="114300" distR="114300">
                  <wp:extent cx="2619375" cy="1740535"/>
                  <wp:effectExtent l="0" t="0" r="9525" b="1206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619375" cy="1740535"/>
                          </a:xfrm>
                          <a:prstGeom prst="rect">
                            <a:avLst/>
                          </a:prstGeom>
                          <a:noFill/>
                          <a:ln>
                            <a:noFill/>
                          </a:ln>
                        </pic:spPr>
                      </pic:pic>
                    </a:graphicData>
                  </a:graphic>
                </wp:inline>
              </w:drawing>
            </w:r>
          </w:p>
        </w:tc>
        <w:tc>
          <w:tcPr>
            <w:tcW w:w="4261" w:type="dxa"/>
          </w:tcPr>
          <w:p w14:paraId="0D8B533F">
            <w:pPr>
              <w:numPr>
                <w:numId w:val="0"/>
              </w:numPr>
              <w:rPr>
                <w:rFonts w:hint="eastAsia"/>
                <w:vertAlign w:val="baseline"/>
                <w:lang w:val="en-US" w:eastAsia="zh-CN"/>
              </w:rPr>
            </w:pPr>
            <w:r>
              <w:rPr>
                <w:rFonts w:hint="eastAsia"/>
                <w:vertAlign w:val="baseline"/>
                <w:lang w:val="en-US" w:eastAsia="zh-CN"/>
              </w:rPr>
              <w:t>如左图1阶首领副本所示，当前处于首领复活中状态，该状态为对应副本的首领boss已经被击杀，处于复活倒计时的状态：</w:t>
            </w:r>
          </w:p>
          <w:p w14:paraId="45C40474">
            <w:pPr>
              <w:numPr>
                <w:ilvl w:val="0"/>
                <w:numId w:val="13"/>
              </w:numPr>
              <w:ind w:left="425" w:leftChars="0" w:hanging="425" w:firstLineChars="0"/>
              <w:rPr>
                <w:rFonts w:hint="default"/>
                <w:vertAlign w:val="baseline"/>
                <w:lang w:val="en-US" w:eastAsia="zh-CN"/>
              </w:rPr>
            </w:pPr>
            <w:r>
              <w:rPr>
                <w:rFonts w:hint="eastAsia"/>
                <w:vertAlign w:val="baseline"/>
                <w:lang w:val="en-US" w:eastAsia="zh-CN"/>
              </w:rPr>
              <w:t>倒计时的显示方式为：{分：秒}。</w:t>
            </w:r>
          </w:p>
        </w:tc>
      </w:tr>
      <w:tr w14:paraId="43B7A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0CD82E3A">
            <w:pPr>
              <w:numPr>
                <w:numId w:val="0"/>
              </w:numPr>
              <w:rPr>
                <w:rFonts w:hint="default"/>
                <w:vertAlign w:val="baseline"/>
                <w:lang w:val="en-US" w:eastAsia="zh-CN"/>
              </w:rPr>
            </w:pPr>
            <w:r>
              <w:drawing>
                <wp:inline distT="0" distB="0" distL="114300" distR="114300">
                  <wp:extent cx="2619375" cy="1740535"/>
                  <wp:effectExtent l="0" t="0" r="9525"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4"/>
                          <a:stretch>
                            <a:fillRect/>
                          </a:stretch>
                        </pic:blipFill>
                        <pic:spPr>
                          <a:xfrm>
                            <a:off x="0" y="0"/>
                            <a:ext cx="2619375" cy="1740535"/>
                          </a:xfrm>
                          <a:prstGeom prst="rect">
                            <a:avLst/>
                          </a:prstGeom>
                          <a:noFill/>
                          <a:ln>
                            <a:noFill/>
                          </a:ln>
                        </pic:spPr>
                      </pic:pic>
                    </a:graphicData>
                  </a:graphic>
                </wp:inline>
              </w:drawing>
            </w:r>
          </w:p>
        </w:tc>
        <w:tc>
          <w:tcPr>
            <w:tcW w:w="4261" w:type="dxa"/>
          </w:tcPr>
          <w:p w14:paraId="4C73007D">
            <w:pPr>
              <w:numPr>
                <w:numId w:val="0"/>
              </w:numPr>
              <w:rPr>
                <w:rFonts w:hint="eastAsia"/>
                <w:vertAlign w:val="baseline"/>
                <w:lang w:val="en-US" w:eastAsia="zh-CN"/>
              </w:rPr>
            </w:pPr>
            <w:r>
              <w:rPr>
                <w:rFonts w:hint="eastAsia"/>
                <w:vertAlign w:val="baseline"/>
                <w:lang w:val="en-US" w:eastAsia="zh-CN"/>
              </w:rPr>
              <w:t>如左图2阶首领副本所示，为当前副本首领处于存活状态下的显示：</w:t>
            </w:r>
          </w:p>
          <w:p w14:paraId="209284ED">
            <w:pPr>
              <w:numPr>
                <w:ilvl w:val="0"/>
                <w:numId w:val="14"/>
              </w:numPr>
              <w:ind w:left="425" w:leftChars="0" w:hanging="425" w:firstLineChars="0"/>
              <w:rPr>
                <w:rFonts w:hint="eastAsia"/>
                <w:vertAlign w:val="baseline"/>
                <w:lang w:val="en-US" w:eastAsia="zh-CN"/>
              </w:rPr>
            </w:pPr>
            <w:r>
              <w:rPr>
                <w:rFonts w:hint="eastAsia"/>
                <w:vertAlign w:val="baseline"/>
                <w:lang w:val="en-US" w:eastAsia="zh-CN"/>
              </w:rPr>
              <w:t>只有角色战力满足条件的玩家才会显示挑战按钮，点击挑战按钮之后，如果今日次数不为0，则进入到对应副本，反之，则给出飘字提示：今日次数已用完。</w:t>
            </w:r>
          </w:p>
          <w:p w14:paraId="534B5070">
            <w:pPr>
              <w:numPr>
                <w:numId w:val="0"/>
              </w:numPr>
              <w:rPr>
                <w:rFonts w:hint="default"/>
                <w:vertAlign w:val="baseline"/>
                <w:lang w:val="en-US" w:eastAsia="zh-CN"/>
              </w:rPr>
            </w:pPr>
          </w:p>
        </w:tc>
      </w:tr>
      <w:tr w14:paraId="11B0F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DA95F49">
            <w:pPr>
              <w:numPr>
                <w:numId w:val="0"/>
              </w:numPr>
            </w:pPr>
            <w:r>
              <w:drawing>
                <wp:inline distT="0" distB="0" distL="114300" distR="114300">
                  <wp:extent cx="2619375" cy="1740535"/>
                  <wp:effectExtent l="0" t="0" r="9525" b="1206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4"/>
                          <a:stretch>
                            <a:fillRect/>
                          </a:stretch>
                        </pic:blipFill>
                        <pic:spPr>
                          <a:xfrm>
                            <a:off x="0" y="0"/>
                            <a:ext cx="2619375" cy="1740535"/>
                          </a:xfrm>
                          <a:prstGeom prst="rect">
                            <a:avLst/>
                          </a:prstGeom>
                          <a:noFill/>
                          <a:ln>
                            <a:noFill/>
                          </a:ln>
                        </pic:spPr>
                      </pic:pic>
                    </a:graphicData>
                  </a:graphic>
                </wp:inline>
              </w:drawing>
            </w:r>
          </w:p>
        </w:tc>
        <w:tc>
          <w:tcPr>
            <w:tcW w:w="4261" w:type="dxa"/>
          </w:tcPr>
          <w:p w14:paraId="548855EE">
            <w:pPr>
              <w:numPr>
                <w:numId w:val="0"/>
              </w:numPr>
              <w:rPr>
                <w:rFonts w:hint="eastAsia"/>
                <w:vertAlign w:val="baseline"/>
                <w:lang w:val="en-US" w:eastAsia="zh-CN"/>
              </w:rPr>
            </w:pPr>
            <w:r>
              <w:rPr>
                <w:rFonts w:hint="eastAsia"/>
                <w:vertAlign w:val="baseline"/>
                <w:lang w:val="en-US" w:eastAsia="zh-CN"/>
              </w:rPr>
              <w:t>如左图3、4阶首领副本所示，为当前玩家的战力不足以挑战对应副本时的状态显示：</w:t>
            </w:r>
          </w:p>
          <w:p w14:paraId="280706FC">
            <w:pPr>
              <w:numPr>
                <w:numId w:val="0"/>
              </w:numPr>
              <w:rPr>
                <w:rFonts w:hint="eastAsia"/>
                <w:vertAlign w:val="baseline"/>
                <w:lang w:val="en-US" w:eastAsia="zh-CN"/>
              </w:rPr>
            </w:pPr>
          </w:p>
          <w:p w14:paraId="7490CB06">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此时副本的状态为显示进入所需要的战力条件。</w:t>
            </w:r>
          </w:p>
          <w:p w14:paraId="4DB43104">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显示方式为：{所需战力/玩家当前战力}，其中所需战力的数字用红色显示。</w:t>
            </w:r>
          </w:p>
        </w:tc>
      </w:tr>
      <w:tr w14:paraId="06059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3D1148A">
            <w:pPr>
              <w:numPr>
                <w:numId w:val="0"/>
              </w:numPr>
            </w:pPr>
            <w:r>
              <w:drawing>
                <wp:inline distT="0" distB="0" distL="114300" distR="114300">
                  <wp:extent cx="2607945" cy="1732915"/>
                  <wp:effectExtent l="0" t="0" r="1905"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5"/>
                          <a:stretch>
                            <a:fillRect/>
                          </a:stretch>
                        </pic:blipFill>
                        <pic:spPr>
                          <a:xfrm>
                            <a:off x="0" y="0"/>
                            <a:ext cx="2607945" cy="1732915"/>
                          </a:xfrm>
                          <a:prstGeom prst="rect">
                            <a:avLst/>
                          </a:prstGeom>
                          <a:noFill/>
                          <a:ln>
                            <a:noFill/>
                          </a:ln>
                        </pic:spPr>
                      </pic:pic>
                    </a:graphicData>
                  </a:graphic>
                </wp:inline>
              </w:drawing>
            </w:r>
          </w:p>
        </w:tc>
        <w:tc>
          <w:tcPr>
            <w:tcW w:w="4261" w:type="dxa"/>
          </w:tcPr>
          <w:p w14:paraId="56DB5F9A">
            <w:pPr>
              <w:numPr>
                <w:numId w:val="0"/>
              </w:numPr>
              <w:ind w:leftChars="0"/>
              <w:rPr>
                <w:rFonts w:hint="eastAsia"/>
                <w:vertAlign w:val="baseline"/>
                <w:lang w:val="en-US" w:eastAsia="zh-CN"/>
              </w:rPr>
            </w:pPr>
            <w:r>
              <w:rPr>
                <w:rFonts w:hint="eastAsia"/>
                <w:vertAlign w:val="baseline"/>
                <w:lang w:val="en-US" w:eastAsia="zh-CN"/>
              </w:rPr>
              <w:t>如左图所示，为玩家因为特殊原因（掉线、被击杀、主动退出）在副本首领尚未被击杀之后离开了对应副本的显示状态：</w:t>
            </w:r>
          </w:p>
          <w:p w14:paraId="0ACCC0C1">
            <w:pPr>
              <w:numPr>
                <w:ilvl w:val="0"/>
                <w:numId w:val="16"/>
              </w:numPr>
              <w:ind w:left="425" w:leftChars="0" w:hanging="425" w:firstLineChars="0"/>
              <w:rPr>
                <w:rFonts w:hint="eastAsia"/>
                <w:vertAlign w:val="baseline"/>
                <w:lang w:val="en-US" w:eastAsia="zh-CN"/>
              </w:rPr>
            </w:pPr>
            <w:r>
              <w:rPr>
                <w:rFonts w:hint="eastAsia"/>
                <w:vertAlign w:val="baseline"/>
                <w:lang w:val="en-US" w:eastAsia="zh-CN"/>
              </w:rPr>
              <w:t>所有的副本均显示：进入冷却中，冷却时间为10秒，可以写死。</w:t>
            </w:r>
          </w:p>
          <w:p w14:paraId="79614CA8">
            <w:pPr>
              <w:numPr>
                <w:numId w:val="0"/>
              </w:numPr>
              <w:ind w:leftChars="0"/>
              <w:rPr>
                <w:rFonts w:hint="default"/>
                <w:vertAlign w:val="baseline"/>
                <w:lang w:val="en-US" w:eastAsia="zh-CN"/>
              </w:rPr>
            </w:pPr>
          </w:p>
        </w:tc>
      </w:tr>
    </w:tbl>
    <w:p w14:paraId="7BDE3D3F">
      <w:pPr>
        <w:numPr>
          <w:numId w:val="0"/>
        </w:numPr>
        <w:ind w:leftChars="0"/>
        <w:rPr>
          <w:rFonts w:hint="eastAsia"/>
          <w:lang w:val="en-US" w:eastAsia="zh-CN"/>
        </w:rPr>
      </w:pPr>
      <w:r>
        <w:rPr>
          <w:rFonts w:hint="eastAsia"/>
          <w:highlight w:val="yellow"/>
          <w:lang w:val="en-US" w:eastAsia="zh-CN"/>
        </w:rPr>
        <w:t>特别的，玩家每次打开副本列表界面时，均自动给玩家显示的为其当前所能挑战的最高阶副本那一页</w:t>
      </w:r>
      <w:r>
        <w:rPr>
          <w:rFonts w:hint="eastAsia"/>
          <w:lang w:val="en-US" w:eastAsia="zh-CN"/>
        </w:rPr>
        <w:t>。</w:t>
      </w:r>
    </w:p>
    <w:p w14:paraId="3BAF9D4B">
      <w:pPr>
        <w:pStyle w:val="5"/>
        <w:numPr>
          <w:ilvl w:val="2"/>
          <w:numId w:val="4"/>
        </w:numPr>
        <w:bidi w:val="0"/>
        <w:ind w:left="0" w:leftChars="0" w:firstLine="0" w:firstLineChars="0"/>
        <w:rPr>
          <w:rFonts w:hint="eastAsia"/>
          <w:lang w:val="en-US" w:eastAsia="zh-CN"/>
        </w:rPr>
      </w:pPr>
      <w:bookmarkStart w:id="8" w:name="_Toc29284"/>
      <w:r>
        <w:rPr>
          <w:rFonts w:hint="eastAsia"/>
          <w:lang w:val="en-US" w:eastAsia="zh-CN"/>
        </w:rPr>
        <w:t>灵珠副本内定义</w:t>
      </w:r>
      <w:bookmarkEnd w:id="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1F180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6EC60480">
            <w:pPr>
              <w:numPr>
                <w:numId w:val="0"/>
              </w:numPr>
              <w:rPr>
                <w:rFonts w:hint="default"/>
                <w:vertAlign w:val="baseline"/>
                <w:lang w:val="en-US" w:eastAsia="zh-CN"/>
              </w:rPr>
            </w:pPr>
            <w:r>
              <w:drawing>
                <wp:inline distT="0" distB="0" distL="114300" distR="114300">
                  <wp:extent cx="5248275" cy="3214370"/>
                  <wp:effectExtent l="0" t="0" r="9525" b="508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5248275" cy="3214370"/>
                          </a:xfrm>
                          <a:prstGeom prst="rect">
                            <a:avLst/>
                          </a:prstGeom>
                          <a:noFill/>
                          <a:ln>
                            <a:noFill/>
                          </a:ln>
                        </pic:spPr>
                      </pic:pic>
                    </a:graphicData>
                  </a:graphic>
                </wp:inline>
              </w:drawing>
            </w:r>
          </w:p>
        </w:tc>
      </w:tr>
      <w:tr w14:paraId="0BB52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3C2AE962">
            <w:pPr>
              <w:numPr>
                <w:numId w:val="0"/>
              </w:numPr>
              <w:rPr>
                <w:rFonts w:hint="eastAsia"/>
                <w:vertAlign w:val="baseline"/>
                <w:lang w:val="en-US" w:eastAsia="zh-CN"/>
              </w:rPr>
            </w:pPr>
            <w:r>
              <w:rPr>
                <w:rFonts w:hint="eastAsia"/>
                <w:vertAlign w:val="baseline"/>
                <w:lang w:val="en-US" w:eastAsia="zh-CN"/>
              </w:rPr>
              <w:t>如上图所示，为进入到对应的灵珠副本内之后的示意图：</w:t>
            </w:r>
          </w:p>
          <w:p w14:paraId="69D14888">
            <w:pPr>
              <w:numPr>
                <w:ilvl w:val="0"/>
                <w:numId w:val="17"/>
              </w:numPr>
              <w:ind w:left="425" w:leftChars="0" w:hanging="425" w:firstLineChars="0"/>
              <w:rPr>
                <w:rFonts w:hint="default"/>
                <w:vertAlign w:val="baseline"/>
                <w:lang w:val="en-US" w:eastAsia="zh-CN"/>
              </w:rPr>
            </w:pPr>
            <w:r>
              <w:rPr>
                <w:rFonts w:hint="eastAsia"/>
                <w:vertAlign w:val="baseline"/>
                <w:lang w:val="en-US" w:eastAsia="zh-CN"/>
              </w:rPr>
              <w:t>灵珠副本没有挑战倒计时的设定，离开副本只有两种情况：主动退出（掉线被动退出、死亡未复活的系统踢出）以及boss被击杀之后的系统踢出。其中主动退出的这种情况下，再次进入副本需要等待进入冷却时间结束。</w:t>
            </w:r>
          </w:p>
          <w:p w14:paraId="02854C8A">
            <w:pPr>
              <w:numPr>
                <w:ilvl w:val="0"/>
                <w:numId w:val="17"/>
              </w:numPr>
              <w:ind w:left="425" w:leftChars="0" w:hanging="425" w:firstLineChars="0"/>
              <w:rPr>
                <w:rFonts w:hint="default"/>
                <w:vertAlign w:val="baseline"/>
                <w:lang w:val="en-US" w:eastAsia="zh-CN"/>
              </w:rPr>
            </w:pPr>
            <w:r>
              <w:rPr>
                <w:rFonts w:hint="eastAsia"/>
                <w:vertAlign w:val="baseline"/>
                <w:lang w:val="en-US" w:eastAsia="zh-CN"/>
              </w:rPr>
              <w:t>副本内的左侧有角色列表，其中第1、2位固定显示：当前boss详情和我的角色详情，第3位之后的角色详情则按照距离当前玩家的远近进行显示。</w:t>
            </w:r>
          </w:p>
          <w:p w14:paraId="43651B8C">
            <w:pPr>
              <w:numPr>
                <w:ilvl w:val="0"/>
                <w:numId w:val="17"/>
              </w:numPr>
              <w:ind w:left="425" w:leftChars="0" w:hanging="425" w:firstLineChars="0"/>
              <w:rPr>
                <w:rFonts w:hint="default"/>
                <w:vertAlign w:val="baseline"/>
                <w:lang w:val="en-US" w:eastAsia="zh-CN"/>
              </w:rPr>
            </w:pPr>
            <w:r>
              <w:rPr>
                <w:rFonts w:hint="eastAsia"/>
                <w:vertAlign w:val="baseline"/>
                <w:lang w:val="en-US" w:eastAsia="zh-CN"/>
              </w:rPr>
              <w:t>除了我的角色详情以及我的行会成员的详情之外，boss和其他玩家的详情之后均带有“攻击”按钮，点击之后则向该目标发动攻击。</w:t>
            </w:r>
          </w:p>
          <w:p w14:paraId="407C55D8">
            <w:pPr>
              <w:numPr>
                <w:ilvl w:val="0"/>
                <w:numId w:val="17"/>
              </w:numPr>
              <w:ind w:left="425" w:leftChars="0" w:hanging="425" w:firstLineChars="0"/>
              <w:rPr>
                <w:rFonts w:hint="default"/>
                <w:vertAlign w:val="baseline"/>
                <w:lang w:val="en-US" w:eastAsia="zh-CN"/>
              </w:rPr>
            </w:pPr>
            <w:r>
              <w:rPr>
                <w:rFonts w:hint="eastAsia"/>
                <w:vertAlign w:val="baseline"/>
                <w:lang w:val="en-US" w:eastAsia="zh-CN"/>
              </w:rPr>
              <w:t>副本右侧有5个按钮：</w:t>
            </w:r>
          </w:p>
          <w:p w14:paraId="42CE46C0">
            <w:pPr>
              <w:numPr>
                <w:ilvl w:val="0"/>
                <w:numId w:val="18"/>
              </w:numPr>
              <w:ind w:left="0" w:leftChars="0" w:firstLine="400" w:firstLineChars="0"/>
              <w:rPr>
                <w:rFonts w:hint="default"/>
                <w:vertAlign w:val="baseline"/>
                <w:lang w:val="en-US" w:eastAsia="zh-CN"/>
              </w:rPr>
            </w:pPr>
            <w:r>
              <w:rPr>
                <w:rFonts w:hint="eastAsia"/>
                <w:vertAlign w:val="baseline"/>
                <w:lang w:val="en-US" w:eastAsia="zh-CN"/>
              </w:rPr>
              <w:t>离开副本（点击之后弹出二次确认提示框，确认离开之后，则退出副本）；</w:t>
            </w:r>
          </w:p>
          <w:p w14:paraId="1A9E74B6">
            <w:pPr>
              <w:numPr>
                <w:ilvl w:val="0"/>
                <w:numId w:val="18"/>
              </w:numPr>
              <w:ind w:left="0" w:leftChars="0" w:firstLine="400" w:firstLineChars="0"/>
              <w:rPr>
                <w:rFonts w:hint="default"/>
                <w:vertAlign w:val="baseline"/>
                <w:lang w:val="en-US" w:eastAsia="zh-CN"/>
              </w:rPr>
            </w:pPr>
            <w:r>
              <w:rPr>
                <w:rFonts w:hint="eastAsia"/>
                <w:vertAlign w:val="baseline"/>
                <w:lang w:val="en-US" w:eastAsia="zh-CN"/>
              </w:rPr>
              <w:t>行会求助（点击之后，向行会聊天频道发送文本链接{我在XX阶灵珠副本进行挑战，速来助我一臂之力，</w:t>
            </w:r>
            <w:r>
              <w:rPr>
                <w:rFonts w:hint="eastAsia"/>
                <w:u w:val="single"/>
                <w:vertAlign w:val="baseline"/>
                <w:lang w:val="en-US" w:eastAsia="zh-CN"/>
              </w:rPr>
              <w:t>立即前往</w:t>
            </w:r>
            <w:r>
              <w:rPr>
                <w:rFonts w:hint="eastAsia"/>
                <w:vertAlign w:val="baseline"/>
                <w:lang w:val="en-US" w:eastAsia="zh-CN"/>
              </w:rPr>
              <w:t>}，行会内的其他玩家点击按钮之后如果满足进入条件，则可以进入到对应灵珠副本）；该按钮有点击的冷却时间（10秒），防止频繁发送消息。</w:t>
            </w:r>
            <w:r>
              <w:rPr>
                <w:rFonts w:hint="eastAsia"/>
                <w:highlight w:val="yellow"/>
                <w:vertAlign w:val="baseline"/>
                <w:lang w:val="en-US" w:eastAsia="zh-CN"/>
              </w:rPr>
              <w:t>特别的，一旦发送消息的玩家离开了灵珠副本，则所发送的文本链接失效，此时其他会员点击文本“立即前往”给出飘字提示：信息已失效</w:t>
            </w:r>
            <w:r>
              <w:rPr>
                <w:rFonts w:hint="eastAsia"/>
                <w:vertAlign w:val="baseline"/>
                <w:lang w:val="en-US" w:eastAsia="zh-CN"/>
              </w:rPr>
              <w:t>。</w:t>
            </w:r>
          </w:p>
          <w:p w14:paraId="0B7B66A1">
            <w:pPr>
              <w:numPr>
                <w:ilvl w:val="0"/>
                <w:numId w:val="18"/>
              </w:numPr>
              <w:ind w:left="0" w:leftChars="0" w:firstLine="400" w:firstLineChars="0"/>
              <w:rPr>
                <w:rFonts w:hint="default"/>
                <w:vertAlign w:val="baseline"/>
                <w:lang w:val="en-US" w:eastAsia="zh-CN"/>
              </w:rPr>
            </w:pPr>
            <w:r>
              <w:rPr>
                <w:rFonts w:hint="eastAsia"/>
                <w:vertAlign w:val="baseline"/>
                <w:lang w:val="en-US" w:eastAsia="zh-CN"/>
              </w:rPr>
              <w:t>攻击首领：点击按钮之后则立即攻击首领目标。</w:t>
            </w:r>
          </w:p>
          <w:p w14:paraId="52D3D258">
            <w:pPr>
              <w:numPr>
                <w:ilvl w:val="0"/>
                <w:numId w:val="18"/>
              </w:numPr>
              <w:ind w:left="0" w:leftChars="0" w:firstLine="400" w:firstLineChars="0"/>
              <w:rPr>
                <w:rFonts w:hint="default"/>
                <w:vertAlign w:val="baseline"/>
                <w:lang w:val="en-US" w:eastAsia="zh-CN"/>
              </w:rPr>
            </w:pPr>
            <w:r>
              <w:rPr>
                <w:rFonts w:hint="eastAsia"/>
                <w:vertAlign w:val="baseline"/>
                <w:lang w:val="en-US" w:eastAsia="zh-CN"/>
              </w:rPr>
              <w:t>攻击敌方：点击按钮之后则立即攻击距离自己较近的敌对目标。在该副本内，所有玩家均为行会攻击模式。</w:t>
            </w:r>
          </w:p>
          <w:p w14:paraId="7EC5710C">
            <w:pPr>
              <w:numPr>
                <w:ilvl w:val="0"/>
                <w:numId w:val="18"/>
              </w:numPr>
              <w:ind w:left="0" w:leftChars="0" w:firstLine="400" w:firstLineChars="0"/>
              <w:rPr>
                <w:rFonts w:hint="default"/>
                <w:vertAlign w:val="baseline"/>
                <w:lang w:val="en-US" w:eastAsia="zh-CN"/>
              </w:rPr>
            </w:pPr>
            <w:r>
              <w:rPr>
                <w:rFonts w:hint="eastAsia"/>
                <w:vertAlign w:val="baseline"/>
                <w:lang w:val="en-US" w:eastAsia="zh-CN"/>
              </w:rPr>
              <w:t>快速复活：按钮下方显示当前复活所需要的金币数量（该数量随着复活次数的递增而增加，重新进入副本后重置），点击该按钮可以原地复活，如果没有角色死亡，则不生效。</w:t>
            </w:r>
            <w:r>
              <w:rPr>
                <w:rFonts w:hint="eastAsia"/>
                <w:highlight w:val="yellow"/>
                <w:vertAlign w:val="baseline"/>
                <w:lang w:val="en-US" w:eastAsia="zh-CN"/>
              </w:rPr>
              <w:t>说明：该按钮的设定是考虑到后续如果带伙伴的情况</w:t>
            </w:r>
            <w:r>
              <w:rPr>
                <w:rFonts w:hint="eastAsia"/>
                <w:vertAlign w:val="baseline"/>
                <w:lang w:val="en-US" w:eastAsia="zh-CN"/>
              </w:rPr>
              <w:t>。</w:t>
            </w:r>
          </w:p>
          <w:p w14:paraId="22B09158">
            <w:pPr>
              <w:numPr>
                <w:ilvl w:val="0"/>
                <w:numId w:val="19"/>
              </w:numPr>
              <w:ind w:left="425" w:leftChars="0" w:hanging="425" w:firstLineChars="0"/>
              <w:rPr>
                <w:rFonts w:hint="default"/>
                <w:vertAlign w:val="baseline"/>
                <w:lang w:val="en-US" w:eastAsia="zh-CN"/>
              </w:rPr>
            </w:pPr>
            <w:r>
              <w:rPr>
                <w:rFonts w:hint="eastAsia"/>
                <w:vertAlign w:val="baseline"/>
                <w:lang w:val="en-US" w:eastAsia="zh-CN"/>
              </w:rPr>
              <w:t>副本内，需要在玩家的名称后面标注当前是谁占有了boss，该占有则按照当前boss攻击谁谁占有的原则。</w:t>
            </w:r>
          </w:p>
        </w:tc>
      </w:tr>
      <w:tr w14:paraId="1B9C2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42EA4D61">
            <w:pPr>
              <w:numPr>
                <w:numId w:val="0"/>
              </w:numPr>
              <w:rPr>
                <w:rFonts w:hint="default"/>
                <w:vertAlign w:val="baseline"/>
                <w:lang w:val="en-US" w:eastAsia="zh-CN"/>
              </w:rPr>
            </w:pPr>
            <w:r>
              <w:drawing>
                <wp:inline distT="0" distB="0" distL="114300" distR="114300">
                  <wp:extent cx="5268595" cy="3233420"/>
                  <wp:effectExtent l="0" t="0" r="8255" b="508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7"/>
                          <a:stretch>
                            <a:fillRect/>
                          </a:stretch>
                        </pic:blipFill>
                        <pic:spPr>
                          <a:xfrm>
                            <a:off x="0" y="0"/>
                            <a:ext cx="5268595" cy="3233420"/>
                          </a:xfrm>
                          <a:prstGeom prst="rect">
                            <a:avLst/>
                          </a:prstGeom>
                          <a:noFill/>
                          <a:ln>
                            <a:noFill/>
                          </a:ln>
                        </pic:spPr>
                      </pic:pic>
                    </a:graphicData>
                  </a:graphic>
                </wp:inline>
              </w:drawing>
            </w:r>
          </w:p>
        </w:tc>
      </w:tr>
      <w:tr w14:paraId="64B61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56F56299">
            <w:pPr>
              <w:numPr>
                <w:numId w:val="0"/>
              </w:numPr>
              <w:rPr>
                <w:rFonts w:hint="eastAsia"/>
                <w:lang w:val="en-US" w:eastAsia="zh-CN"/>
              </w:rPr>
            </w:pPr>
            <w:r>
              <w:rPr>
                <w:rFonts w:hint="eastAsia"/>
                <w:lang w:val="en-US" w:eastAsia="zh-CN"/>
              </w:rPr>
              <w:t>如上图所示，为角色在副本内死亡之后所弹出的死亡复活提示框：</w:t>
            </w:r>
          </w:p>
          <w:p w14:paraId="11F9067B">
            <w:pPr>
              <w:numPr>
                <w:ilvl w:val="0"/>
                <w:numId w:val="20"/>
              </w:numPr>
              <w:ind w:left="425" w:leftChars="0" w:hanging="425" w:firstLineChars="0"/>
              <w:rPr>
                <w:rFonts w:hint="default"/>
                <w:lang w:val="en-US" w:eastAsia="zh-CN"/>
              </w:rPr>
            </w:pPr>
            <w:r>
              <w:rPr>
                <w:rFonts w:hint="eastAsia"/>
                <w:lang w:val="en-US" w:eastAsia="zh-CN"/>
              </w:rPr>
              <w:t>提示框内文字如图所示，其中倒计时需要能够动态计数。</w:t>
            </w:r>
          </w:p>
          <w:p w14:paraId="770B6887">
            <w:pPr>
              <w:numPr>
                <w:ilvl w:val="0"/>
                <w:numId w:val="20"/>
              </w:numPr>
              <w:ind w:left="425" w:leftChars="0" w:hanging="425" w:firstLineChars="0"/>
              <w:rPr>
                <w:rFonts w:hint="default"/>
                <w:lang w:val="en-US" w:eastAsia="zh-CN"/>
              </w:rPr>
            </w:pPr>
            <w:r>
              <w:rPr>
                <w:rFonts w:hint="eastAsia"/>
                <w:lang w:val="en-US" w:eastAsia="zh-CN"/>
              </w:rPr>
              <w:t>点击立即返回，则退出副本，返回安全区。</w:t>
            </w:r>
          </w:p>
          <w:p w14:paraId="0A746249">
            <w:pPr>
              <w:numPr>
                <w:ilvl w:val="0"/>
                <w:numId w:val="20"/>
              </w:numPr>
              <w:ind w:left="425" w:leftChars="0" w:hanging="425" w:firstLineChars="0"/>
              <w:rPr>
                <w:rFonts w:hint="default"/>
                <w:lang w:val="en-US" w:eastAsia="zh-CN"/>
              </w:rPr>
            </w:pPr>
            <w:r>
              <w:rPr>
                <w:rFonts w:hint="eastAsia"/>
                <w:lang w:val="en-US" w:eastAsia="zh-CN"/>
              </w:rPr>
              <w:t>点击立即复活，则扣除对应金币，原地复活，如果金币不足，则给出飘字提示：金币不足！。</w:t>
            </w:r>
          </w:p>
        </w:tc>
      </w:tr>
    </w:tbl>
    <w:p w14:paraId="624C7E76">
      <w:pPr>
        <w:pStyle w:val="5"/>
        <w:numPr>
          <w:ilvl w:val="2"/>
          <w:numId w:val="4"/>
        </w:numPr>
        <w:bidi w:val="0"/>
        <w:ind w:left="0" w:leftChars="0" w:firstLine="0" w:firstLineChars="0"/>
        <w:rPr>
          <w:rFonts w:hint="eastAsia"/>
          <w:lang w:val="en-US" w:eastAsia="zh-CN"/>
        </w:rPr>
      </w:pPr>
      <w:bookmarkStart w:id="9" w:name="_Toc22790"/>
      <w:r>
        <w:rPr>
          <w:rFonts w:hint="eastAsia"/>
          <w:lang w:val="en-US" w:eastAsia="zh-CN"/>
        </w:rPr>
        <w:t>灵珠副本结算设定</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62319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3863E81B">
            <w:pPr>
              <w:numPr>
                <w:numId w:val="0"/>
              </w:numPr>
              <w:rPr>
                <w:rFonts w:hint="default"/>
                <w:vertAlign w:val="baseline"/>
                <w:lang w:val="en-US" w:eastAsia="zh-CN"/>
              </w:rPr>
            </w:pPr>
            <w:r>
              <w:drawing>
                <wp:inline distT="0" distB="0" distL="114300" distR="114300">
                  <wp:extent cx="5268595" cy="3233420"/>
                  <wp:effectExtent l="0" t="0" r="8255" b="508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8"/>
                          <a:stretch>
                            <a:fillRect/>
                          </a:stretch>
                        </pic:blipFill>
                        <pic:spPr>
                          <a:xfrm>
                            <a:off x="0" y="0"/>
                            <a:ext cx="5268595" cy="3233420"/>
                          </a:xfrm>
                          <a:prstGeom prst="rect">
                            <a:avLst/>
                          </a:prstGeom>
                          <a:noFill/>
                          <a:ln>
                            <a:noFill/>
                          </a:ln>
                        </pic:spPr>
                      </pic:pic>
                    </a:graphicData>
                  </a:graphic>
                </wp:inline>
              </w:drawing>
            </w:r>
          </w:p>
        </w:tc>
      </w:tr>
      <w:tr w14:paraId="13B585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21D4AF09">
            <w:pPr>
              <w:numPr>
                <w:numId w:val="0"/>
              </w:numPr>
              <w:rPr>
                <w:rFonts w:hint="eastAsia"/>
                <w:vertAlign w:val="baseline"/>
                <w:lang w:val="en-US" w:eastAsia="zh-CN"/>
              </w:rPr>
            </w:pPr>
            <w:r>
              <w:rPr>
                <w:rFonts w:hint="eastAsia"/>
                <w:vertAlign w:val="baseline"/>
                <w:lang w:val="en-US" w:eastAsia="zh-CN"/>
              </w:rPr>
              <w:t>如上图所示，为灵珠首领被击杀，且自己抢到了击杀归属之后所弹出的副本结算界面：</w:t>
            </w:r>
          </w:p>
          <w:p w14:paraId="3D1182EA">
            <w:pPr>
              <w:numPr>
                <w:ilvl w:val="0"/>
                <w:numId w:val="21"/>
              </w:numPr>
              <w:ind w:left="425" w:leftChars="0" w:hanging="425" w:firstLineChars="0"/>
              <w:rPr>
                <w:rFonts w:hint="default"/>
                <w:vertAlign w:val="baseline"/>
                <w:lang w:val="en-US" w:eastAsia="zh-CN"/>
              </w:rPr>
            </w:pPr>
            <w:r>
              <w:rPr>
                <w:rFonts w:hint="eastAsia"/>
                <w:vertAlign w:val="baseline"/>
                <w:lang w:val="en-US" w:eastAsia="zh-CN"/>
              </w:rPr>
              <w:t>副本的奖励归属采用最后一刀击杀boss的玩家获得的机制。</w:t>
            </w:r>
          </w:p>
          <w:p w14:paraId="23ABFA1D">
            <w:pPr>
              <w:numPr>
                <w:ilvl w:val="0"/>
                <w:numId w:val="21"/>
              </w:numPr>
              <w:ind w:left="425" w:leftChars="0" w:hanging="425" w:firstLineChars="0"/>
              <w:rPr>
                <w:rFonts w:hint="default"/>
                <w:vertAlign w:val="baseline"/>
                <w:lang w:val="en-US" w:eastAsia="zh-CN"/>
              </w:rPr>
            </w:pPr>
            <w:r>
              <w:rPr>
                <w:rFonts w:hint="eastAsia"/>
                <w:vertAlign w:val="baseline"/>
                <w:lang w:val="en-US" w:eastAsia="zh-CN"/>
              </w:rPr>
              <w:t>副本结算界面所展示的为本次击杀boss所获得的物品，道具名称需要和品质颜色一致，如果走掉落的机制，则需要自动帮玩家拾取掉落然后在结算界面进行展示。</w:t>
            </w:r>
          </w:p>
          <w:p w14:paraId="00C4EDC1">
            <w:pPr>
              <w:numPr>
                <w:ilvl w:val="0"/>
                <w:numId w:val="21"/>
              </w:numPr>
              <w:ind w:left="425" w:leftChars="0" w:hanging="425" w:firstLineChars="0"/>
              <w:rPr>
                <w:rFonts w:hint="default"/>
                <w:vertAlign w:val="baseline"/>
                <w:lang w:val="en-US" w:eastAsia="zh-CN"/>
              </w:rPr>
            </w:pPr>
            <w:r>
              <w:rPr>
                <w:rFonts w:hint="eastAsia"/>
                <w:vertAlign w:val="baseline"/>
                <w:lang w:val="en-US" w:eastAsia="zh-CN"/>
              </w:rPr>
              <w:t>点击确定按钮，则立即返回安全区；反之，则倒计时结束之后返回安全区。</w:t>
            </w:r>
          </w:p>
          <w:p w14:paraId="625212DE">
            <w:pPr>
              <w:numPr>
                <w:ilvl w:val="0"/>
                <w:numId w:val="21"/>
              </w:numPr>
              <w:ind w:left="425" w:leftChars="0" w:hanging="425" w:firstLineChars="0"/>
              <w:rPr>
                <w:rFonts w:hint="default"/>
                <w:vertAlign w:val="baseline"/>
                <w:lang w:val="en-US" w:eastAsia="zh-CN"/>
              </w:rPr>
            </w:pPr>
            <w:r>
              <w:rPr>
                <w:rFonts w:hint="eastAsia"/>
                <w:highlight w:val="yellow"/>
                <w:vertAlign w:val="baseline"/>
                <w:lang w:val="en-US" w:eastAsia="zh-CN"/>
              </w:rPr>
              <w:t>特别的，同行会的成员，只要有一个成员获得了结算奖励，则在结算时仍处于副本中的其他行会成员也会同样获得结算奖励</w:t>
            </w:r>
            <w:r>
              <w:rPr>
                <w:rFonts w:hint="eastAsia"/>
                <w:vertAlign w:val="baseline"/>
                <w:lang w:val="en-US" w:eastAsia="zh-CN"/>
              </w:rPr>
              <w:t>。</w:t>
            </w:r>
          </w:p>
          <w:p w14:paraId="294B91F4">
            <w:pPr>
              <w:numPr>
                <w:ilvl w:val="0"/>
                <w:numId w:val="21"/>
              </w:numPr>
              <w:ind w:left="425" w:leftChars="0" w:hanging="425" w:firstLineChars="0"/>
              <w:rPr>
                <w:rFonts w:hint="default"/>
                <w:vertAlign w:val="baseline"/>
                <w:lang w:val="en-US" w:eastAsia="zh-CN"/>
              </w:rPr>
            </w:pPr>
            <w:r>
              <w:rPr>
                <w:rFonts w:hint="eastAsia"/>
                <w:highlight w:val="yellow"/>
                <w:vertAlign w:val="baseline"/>
                <w:lang w:val="en-US" w:eastAsia="zh-CN"/>
              </w:rPr>
              <w:t>特别的，只有玩家获得了结算奖励，副本次数才会扣除1次，反之，其他任何情况都不会扣除副本次数</w:t>
            </w:r>
            <w:r>
              <w:rPr>
                <w:rFonts w:hint="eastAsia"/>
                <w:vertAlign w:val="baseline"/>
                <w:lang w:val="en-US" w:eastAsia="zh-CN"/>
              </w:rPr>
              <w:t>。</w:t>
            </w:r>
          </w:p>
        </w:tc>
      </w:tr>
      <w:tr w14:paraId="56434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5B49613">
            <w:pPr>
              <w:numPr>
                <w:numId w:val="0"/>
              </w:numPr>
              <w:rPr>
                <w:rFonts w:hint="default"/>
                <w:vertAlign w:val="baseline"/>
                <w:lang w:val="en-US" w:eastAsia="zh-CN"/>
              </w:rPr>
            </w:pPr>
            <w:r>
              <w:drawing>
                <wp:inline distT="0" distB="0" distL="114300" distR="114300">
                  <wp:extent cx="5268595" cy="3233420"/>
                  <wp:effectExtent l="0" t="0" r="8255" b="508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9"/>
                          <a:stretch>
                            <a:fillRect/>
                          </a:stretch>
                        </pic:blipFill>
                        <pic:spPr>
                          <a:xfrm>
                            <a:off x="0" y="0"/>
                            <a:ext cx="5268595" cy="3233420"/>
                          </a:xfrm>
                          <a:prstGeom prst="rect">
                            <a:avLst/>
                          </a:prstGeom>
                          <a:noFill/>
                          <a:ln>
                            <a:noFill/>
                          </a:ln>
                        </pic:spPr>
                      </pic:pic>
                    </a:graphicData>
                  </a:graphic>
                </wp:inline>
              </w:drawing>
            </w:r>
          </w:p>
        </w:tc>
      </w:tr>
      <w:tr w14:paraId="126F8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AD75D5D">
            <w:pPr>
              <w:numPr>
                <w:numId w:val="0"/>
              </w:numPr>
              <w:rPr>
                <w:rFonts w:hint="default"/>
                <w:vertAlign w:val="baseline"/>
                <w:lang w:val="en-US" w:eastAsia="zh-CN"/>
              </w:rPr>
            </w:pPr>
            <w:r>
              <w:rPr>
                <w:rFonts w:hint="eastAsia"/>
                <w:vertAlign w:val="baseline"/>
                <w:lang w:val="en-US" w:eastAsia="zh-CN"/>
              </w:rPr>
              <w:t>如上图所示，为本次没有获得击杀归属的玩家所弹出的界面，界面内容如图所示，同样的为点击确定立即返回安全区，反之，则倒计时结束自动返回。</w:t>
            </w:r>
          </w:p>
        </w:tc>
      </w:tr>
    </w:tbl>
    <w:p w14:paraId="739D3315">
      <w:pPr>
        <w:pStyle w:val="3"/>
        <w:numPr>
          <w:ilvl w:val="0"/>
          <w:numId w:val="1"/>
        </w:numPr>
        <w:bidi w:val="0"/>
        <w:ind w:left="0" w:leftChars="0" w:firstLine="420" w:firstLineChars="0"/>
        <w:rPr>
          <w:rFonts w:hint="default"/>
          <w:lang w:val="en-US" w:eastAsia="zh-CN"/>
        </w:rPr>
      </w:pPr>
      <w:bookmarkStart w:id="10" w:name="_Toc22557"/>
      <w:r>
        <w:rPr>
          <w:rFonts w:hint="eastAsia"/>
          <w:lang w:val="en-US" w:eastAsia="zh-CN"/>
        </w:rPr>
        <w:t>流程图</w:t>
      </w:r>
      <w:bookmarkEnd w:id="10"/>
    </w:p>
    <w:p w14:paraId="63869333">
      <w:pPr>
        <w:pStyle w:val="4"/>
        <w:numPr>
          <w:ilvl w:val="1"/>
          <w:numId w:val="17"/>
        </w:numPr>
        <w:bidi w:val="0"/>
        <w:rPr>
          <w:rFonts w:hint="eastAsia"/>
          <w:lang w:val="en-US" w:eastAsia="zh-CN"/>
        </w:rPr>
      </w:pPr>
      <w:bookmarkStart w:id="11" w:name="_Toc22803"/>
      <w:r>
        <w:rPr>
          <w:rFonts w:hint="eastAsia"/>
          <w:lang w:val="en-US" w:eastAsia="zh-CN"/>
        </w:rPr>
        <w:t>灵珠副本挑战流程</w:t>
      </w:r>
      <w:bookmarkEnd w:id="11"/>
    </w:p>
    <w:p w14:paraId="4CDF9D86">
      <w:pPr>
        <w:numPr>
          <w:numId w:val="0"/>
        </w:numPr>
        <w:ind w:leftChars="0"/>
        <w:rPr>
          <w:rFonts w:hint="default"/>
          <w:lang w:val="en-US" w:eastAsia="zh-CN"/>
        </w:rPr>
      </w:pPr>
      <w:r>
        <w:drawing>
          <wp:inline distT="0" distB="0" distL="114300" distR="114300">
            <wp:extent cx="4648200" cy="7639050"/>
            <wp:effectExtent l="0" t="0" r="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0"/>
                    <a:stretch>
                      <a:fillRect/>
                    </a:stretch>
                  </pic:blipFill>
                  <pic:spPr>
                    <a:xfrm>
                      <a:off x="0" y="0"/>
                      <a:ext cx="4648200" cy="76390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8146A"/>
    <w:multiLevelType w:val="singleLevel"/>
    <w:tmpl w:val="8B08146A"/>
    <w:lvl w:ilvl="0" w:tentative="0">
      <w:start w:val="1"/>
      <w:numFmt w:val="decimalEnclosedCircleChinese"/>
      <w:suff w:val="nothing"/>
      <w:lvlText w:val="%1　"/>
      <w:lvlJc w:val="left"/>
      <w:pPr>
        <w:ind w:left="0" w:firstLine="400"/>
      </w:pPr>
      <w:rPr>
        <w:rFonts w:hint="eastAsia"/>
      </w:rPr>
    </w:lvl>
  </w:abstractNum>
  <w:abstractNum w:abstractNumId="1">
    <w:nsid w:val="8BFFBC33"/>
    <w:multiLevelType w:val="singleLevel"/>
    <w:tmpl w:val="8BFFBC33"/>
    <w:lvl w:ilvl="0" w:tentative="0">
      <w:start w:val="1"/>
      <w:numFmt w:val="decimal"/>
      <w:lvlText w:val="%1."/>
      <w:lvlJc w:val="left"/>
      <w:pPr>
        <w:ind w:left="425" w:hanging="425"/>
      </w:pPr>
      <w:rPr>
        <w:rFonts w:hint="default"/>
      </w:rPr>
    </w:lvl>
  </w:abstractNum>
  <w:abstractNum w:abstractNumId="2">
    <w:nsid w:val="8D238CD0"/>
    <w:multiLevelType w:val="singleLevel"/>
    <w:tmpl w:val="8D238CD0"/>
    <w:lvl w:ilvl="0" w:tentative="0">
      <w:start w:val="1"/>
      <w:numFmt w:val="decimal"/>
      <w:lvlText w:val="%1."/>
      <w:lvlJc w:val="left"/>
      <w:pPr>
        <w:ind w:left="425" w:hanging="425"/>
      </w:pPr>
      <w:rPr>
        <w:rFonts w:hint="default"/>
      </w:rPr>
    </w:lvl>
  </w:abstractNum>
  <w:abstractNum w:abstractNumId="3">
    <w:nsid w:val="9238F73E"/>
    <w:multiLevelType w:val="singleLevel"/>
    <w:tmpl w:val="9238F73E"/>
    <w:lvl w:ilvl="0" w:tentative="0">
      <w:start w:val="1"/>
      <w:numFmt w:val="decimal"/>
      <w:lvlText w:val="%1."/>
      <w:lvlJc w:val="left"/>
      <w:pPr>
        <w:ind w:left="425" w:hanging="425"/>
      </w:pPr>
      <w:rPr>
        <w:rFonts w:hint="default"/>
      </w:rPr>
    </w:lvl>
  </w:abstractNum>
  <w:abstractNum w:abstractNumId="4">
    <w:nsid w:val="9FB6A603"/>
    <w:multiLevelType w:val="singleLevel"/>
    <w:tmpl w:val="9FB6A603"/>
    <w:lvl w:ilvl="0" w:tentative="0">
      <w:start w:val="1"/>
      <w:numFmt w:val="decimal"/>
      <w:lvlText w:val="%1."/>
      <w:lvlJc w:val="left"/>
      <w:pPr>
        <w:ind w:left="425" w:hanging="425"/>
      </w:pPr>
      <w:rPr>
        <w:rFonts w:hint="default"/>
      </w:rPr>
    </w:lvl>
  </w:abstractNum>
  <w:abstractNum w:abstractNumId="5">
    <w:nsid w:val="B9114DF8"/>
    <w:multiLevelType w:val="singleLevel"/>
    <w:tmpl w:val="B9114DF8"/>
    <w:lvl w:ilvl="0" w:tentative="0">
      <w:start w:val="1"/>
      <w:numFmt w:val="decimal"/>
      <w:lvlText w:val="%1."/>
      <w:lvlJc w:val="left"/>
      <w:pPr>
        <w:ind w:left="425" w:hanging="425"/>
      </w:pPr>
      <w:rPr>
        <w:rFonts w:hint="default"/>
      </w:rPr>
    </w:lvl>
  </w:abstractNum>
  <w:abstractNum w:abstractNumId="6">
    <w:nsid w:val="D24E7938"/>
    <w:multiLevelType w:val="singleLevel"/>
    <w:tmpl w:val="D24E7938"/>
    <w:lvl w:ilvl="0" w:tentative="0">
      <w:start w:val="1"/>
      <w:numFmt w:val="decimal"/>
      <w:lvlText w:val="%1."/>
      <w:lvlJc w:val="left"/>
      <w:pPr>
        <w:ind w:left="425" w:hanging="425"/>
      </w:pPr>
      <w:rPr>
        <w:rFonts w:hint="default"/>
      </w:rPr>
    </w:lvl>
  </w:abstractNum>
  <w:abstractNum w:abstractNumId="7">
    <w:nsid w:val="DEE4447A"/>
    <w:multiLevelType w:val="singleLevel"/>
    <w:tmpl w:val="DEE4447A"/>
    <w:lvl w:ilvl="0" w:tentative="0">
      <w:start w:val="1"/>
      <w:numFmt w:val="decimal"/>
      <w:lvlText w:val="%1."/>
      <w:lvlJc w:val="left"/>
      <w:pPr>
        <w:ind w:left="425" w:hanging="425"/>
      </w:pPr>
      <w:rPr>
        <w:rFonts w:hint="default"/>
      </w:rPr>
    </w:lvl>
  </w:abstractNum>
  <w:abstractNum w:abstractNumId="8">
    <w:nsid w:val="EDF7008C"/>
    <w:multiLevelType w:val="singleLevel"/>
    <w:tmpl w:val="EDF7008C"/>
    <w:lvl w:ilvl="0" w:tentative="0">
      <w:start w:val="1"/>
      <w:numFmt w:val="chineseCounting"/>
      <w:suff w:val="nothing"/>
      <w:lvlText w:val="%1、"/>
      <w:lvlJc w:val="left"/>
      <w:pPr>
        <w:ind w:left="0" w:firstLine="420"/>
      </w:pPr>
      <w:rPr>
        <w:rFonts w:hint="eastAsia"/>
      </w:rPr>
    </w:lvl>
  </w:abstractNum>
  <w:abstractNum w:abstractNumId="9">
    <w:nsid w:val="00CE014A"/>
    <w:multiLevelType w:val="singleLevel"/>
    <w:tmpl w:val="00CE014A"/>
    <w:lvl w:ilvl="0" w:tentative="0">
      <w:start w:val="1"/>
      <w:numFmt w:val="decimal"/>
      <w:lvlText w:val="%1."/>
      <w:lvlJc w:val="left"/>
      <w:pPr>
        <w:ind w:left="425" w:hanging="425"/>
      </w:pPr>
      <w:rPr>
        <w:rFonts w:hint="default"/>
      </w:rPr>
    </w:lvl>
  </w:abstractNum>
  <w:abstractNum w:abstractNumId="10">
    <w:nsid w:val="045D2F65"/>
    <w:multiLevelType w:val="multilevel"/>
    <w:tmpl w:val="045D2F65"/>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29D1FC7"/>
    <w:multiLevelType w:val="singleLevel"/>
    <w:tmpl w:val="129D1FC7"/>
    <w:lvl w:ilvl="0" w:tentative="0">
      <w:start w:val="1"/>
      <w:numFmt w:val="decimal"/>
      <w:lvlText w:val="%1."/>
      <w:lvlJc w:val="left"/>
      <w:pPr>
        <w:ind w:left="425" w:hanging="425"/>
      </w:pPr>
      <w:rPr>
        <w:rFonts w:hint="default"/>
      </w:rPr>
    </w:lvl>
  </w:abstractNum>
  <w:abstractNum w:abstractNumId="12">
    <w:nsid w:val="13B8B025"/>
    <w:multiLevelType w:val="singleLevel"/>
    <w:tmpl w:val="13B8B025"/>
    <w:lvl w:ilvl="0" w:tentative="0">
      <w:start w:val="1"/>
      <w:numFmt w:val="decimal"/>
      <w:lvlText w:val="%1."/>
      <w:lvlJc w:val="left"/>
      <w:pPr>
        <w:ind w:left="425" w:hanging="425"/>
      </w:pPr>
      <w:rPr>
        <w:rFonts w:hint="default"/>
      </w:rPr>
    </w:lvl>
  </w:abstractNum>
  <w:abstractNum w:abstractNumId="13">
    <w:nsid w:val="31583E30"/>
    <w:multiLevelType w:val="singleLevel"/>
    <w:tmpl w:val="31583E30"/>
    <w:lvl w:ilvl="0" w:tentative="0">
      <w:start w:val="1"/>
      <w:numFmt w:val="decimal"/>
      <w:lvlText w:val="%1."/>
      <w:lvlJc w:val="left"/>
      <w:pPr>
        <w:ind w:left="425" w:hanging="425"/>
      </w:pPr>
      <w:rPr>
        <w:rFonts w:hint="default"/>
      </w:rPr>
    </w:lvl>
  </w:abstractNum>
  <w:abstractNum w:abstractNumId="14">
    <w:nsid w:val="32364B8C"/>
    <w:multiLevelType w:val="singleLevel"/>
    <w:tmpl w:val="32364B8C"/>
    <w:lvl w:ilvl="0" w:tentative="0">
      <w:start w:val="1"/>
      <w:numFmt w:val="decimal"/>
      <w:lvlText w:val="%1."/>
      <w:lvlJc w:val="left"/>
      <w:pPr>
        <w:ind w:left="425" w:hanging="425"/>
      </w:pPr>
      <w:rPr>
        <w:rFonts w:hint="default"/>
      </w:rPr>
    </w:lvl>
  </w:abstractNum>
  <w:abstractNum w:abstractNumId="15">
    <w:nsid w:val="34B237E7"/>
    <w:multiLevelType w:val="singleLevel"/>
    <w:tmpl w:val="34B237E7"/>
    <w:lvl w:ilvl="0" w:tentative="0">
      <w:start w:val="1"/>
      <w:numFmt w:val="decimal"/>
      <w:lvlText w:val="%1."/>
      <w:lvlJc w:val="left"/>
      <w:pPr>
        <w:ind w:left="425" w:hanging="425"/>
      </w:pPr>
      <w:rPr>
        <w:rFonts w:hint="default"/>
      </w:rPr>
    </w:lvl>
  </w:abstractNum>
  <w:abstractNum w:abstractNumId="16">
    <w:nsid w:val="3DF5E1B5"/>
    <w:multiLevelType w:val="singleLevel"/>
    <w:tmpl w:val="3DF5E1B5"/>
    <w:lvl w:ilvl="0" w:tentative="0">
      <w:start w:val="5"/>
      <w:numFmt w:val="decimal"/>
      <w:lvlText w:val="%1."/>
      <w:lvlJc w:val="left"/>
      <w:pPr>
        <w:tabs>
          <w:tab w:val="left" w:pos="420"/>
        </w:tabs>
        <w:ind w:left="425" w:leftChars="0" w:hanging="425" w:firstLineChars="0"/>
      </w:pPr>
      <w:rPr>
        <w:rFonts w:hint="default"/>
      </w:rPr>
    </w:lvl>
  </w:abstractNum>
  <w:abstractNum w:abstractNumId="17">
    <w:nsid w:val="3F7A1F72"/>
    <w:multiLevelType w:val="multilevel"/>
    <w:tmpl w:val="3F7A1F72"/>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5BE39A63"/>
    <w:multiLevelType w:val="singleLevel"/>
    <w:tmpl w:val="5BE39A63"/>
    <w:lvl w:ilvl="0" w:tentative="0">
      <w:start w:val="1"/>
      <w:numFmt w:val="decimal"/>
      <w:lvlText w:val="%1."/>
      <w:lvlJc w:val="left"/>
      <w:pPr>
        <w:ind w:left="425" w:hanging="425"/>
      </w:pPr>
      <w:rPr>
        <w:rFonts w:hint="default"/>
      </w:rPr>
    </w:lvl>
  </w:abstractNum>
  <w:abstractNum w:abstractNumId="19">
    <w:nsid w:val="645C7367"/>
    <w:multiLevelType w:val="singleLevel"/>
    <w:tmpl w:val="645C7367"/>
    <w:lvl w:ilvl="0" w:tentative="0">
      <w:start w:val="1"/>
      <w:numFmt w:val="decimal"/>
      <w:lvlText w:val="%1."/>
      <w:lvlJc w:val="left"/>
      <w:pPr>
        <w:ind w:left="425" w:hanging="425"/>
      </w:pPr>
      <w:rPr>
        <w:rFonts w:hint="default"/>
      </w:rPr>
    </w:lvl>
  </w:abstractNum>
  <w:abstractNum w:abstractNumId="20">
    <w:nsid w:val="6DF27392"/>
    <w:multiLevelType w:val="singleLevel"/>
    <w:tmpl w:val="6DF27392"/>
    <w:lvl w:ilvl="0" w:tentative="0">
      <w:start w:val="1"/>
      <w:numFmt w:val="decimal"/>
      <w:lvlText w:val="%1."/>
      <w:lvlJc w:val="left"/>
      <w:pPr>
        <w:ind w:left="425" w:hanging="425"/>
      </w:pPr>
      <w:rPr>
        <w:rFonts w:hint="default"/>
      </w:rPr>
    </w:lvl>
  </w:abstractNum>
  <w:num w:numId="1">
    <w:abstractNumId w:val="8"/>
  </w:num>
  <w:num w:numId="2">
    <w:abstractNumId w:val="9"/>
  </w:num>
  <w:num w:numId="3">
    <w:abstractNumId w:val="20"/>
  </w:num>
  <w:num w:numId="4">
    <w:abstractNumId w:val="10"/>
  </w:num>
  <w:num w:numId="5">
    <w:abstractNumId w:val="3"/>
  </w:num>
  <w:num w:numId="6">
    <w:abstractNumId w:val="5"/>
  </w:num>
  <w:num w:numId="7">
    <w:abstractNumId w:val="13"/>
  </w:num>
  <w:num w:numId="8">
    <w:abstractNumId w:val="14"/>
  </w:num>
  <w:num w:numId="9">
    <w:abstractNumId w:val="18"/>
  </w:num>
  <w:num w:numId="10">
    <w:abstractNumId w:val="1"/>
  </w:num>
  <w:num w:numId="11">
    <w:abstractNumId w:val="2"/>
  </w:num>
  <w:num w:numId="12">
    <w:abstractNumId w:val="19"/>
  </w:num>
  <w:num w:numId="13">
    <w:abstractNumId w:val="6"/>
  </w:num>
  <w:num w:numId="14">
    <w:abstractNumId w:val="11"/>
  </w:num>
  <w:num w:numId="15">
    <w:abstractNumId w:val="7"/>
  </w:num>
  <w:num w:numId="16">
    <w:abstractNumId w:val="12"/>
  </w:num>
  <w:num w:numId="17">
    <w:abstractNumId w:val="17"/>
  </w:num>
  <w:num w:numId="18">
    <w:abstractNumId w:val="0"/>
  </w:num>
  <w:num w:numId="19">
    <w:abstractNumId w:val="16"/>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jNDc4ODYzMDRhNzczNDcxYThjMzcwYzI4YjI2N2UifQ=="/>
  </w:docVars>
  <w:rsids>
    <w:rsidRoot w:val="00000000"/>
    <w:rsid w:val="0B4D4C22"/>
    <w:rsid w:val="0DE07981"/>
    <w:rsid w:val="0E547045"/>
    <w:rsid w:val="0E5E52C2"/>
    <w:rsid w:val="18BD20BF"/>
    <w:rsid w:val="1BA12D28"/>
    <w:rsid w:val="1EF22192"/>
    <w:rsid w:val="2031368A"/>
    <w:rsid w:val="21674717"/>
    <w:rsid w:val="24660ED8"/>
    <w:rsid w:val="32510E3D"/>
    <w:rsid w:val="33CE2F05"/>
    <w:rsid w:val="355C6D33"/>
    <w:rsid w:val="38D548AA"/>
    <w:rsid w:val="3D9719A0"/>
    <w:rsid w:val="42CD4CA3"/>
    <w:rsid w:val="4EAC09CF"/>
    <w:rsid w:val="527D289B"/>
    <w:rsid w:val="52985AD7"/>
    <w:rsid w:val="564E1809"/>
    <w:rsid w:val="5719408B"/>
    <w:rsid w:val="573152A5"/>
    <w:rsid w:val="59920D3A"/>
    <w:rsid w:val="5C115B42"/>
    <w:rsid w:val="630103AD"/>
    <w:rsid w:val="68DE13EC"/>
    <w:rsid w:val="6AB8408C"/>
    <w:rsid w:val="7A3E76AA"/>
    <w:rsid w:val="7D796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4"/>
    <w:basedOn w:val="1"/>
    <w:next w:val="1"/>
    <w:uiPriority w:val="0"/>
    <w:pPr>
      <w:ind w:left="1260" w:leftChars="600"/>
    </w:pPr>
  </w:style>
  <w:style w:type="paragraph" w:styleId="9">
    <w:name w:val="toc 2"/>
    <w:basedOn w:val="1"/>
    <w:next w:val="1"/>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2024-11-19T05:03:57Z</dcterms:created>
  <dc:creator>Administrator</dc:creator>
  <cp:lastModifiedBy>企业用户_255442825</cp:lastModifiedBy>
  <dcterms:modified xsi:type="dcterms:W3CDTF">2024-11-19T07:36:29Z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41D1E3FAC4DE4774BA938167AED22871_12</vt:lpwstr>
  </property>
</Properties>
</file>