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38F9CEE">
      <w:pPr>
        <w:pStyle w:val="2"/>
        <w:bidi w:val="0"/>
        <w:jc w:val="center"/>
        <w:rPr>
          <w:rFonts w:hint="eastAsia"/>
          <w:lang w:val="en-US" w:eastAsia="zh-CN"/>
        </w:rPr>
      </w:pPr>
      <w:bookmarkStart w:id="0" w:name="_Toc20045"/>
      <w:r>
        <w:rPr>
          <w:rFonts w:hint="eastAsia"/>
          <w:lang w:val="en-US" w:eastAsia="zh-CN"/>
        </w:rPr>
        <w:t>充值返利功能</w:t>
      </w:r>
      <w:bookmarkEnd w:id="0"/>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769"/>
        <w:gridCol w:w="1350"/>
        <w:gridCol w:w="5635"/>
        <w:gridCol w:w="768"/>
      </w:tblGrid>
      <w:tr w14:paraId="49C1F6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9" w:type="dxa"/>
            <w:tcBorders>
              <w:top w:val="single" w:color="4874CB" w:sz="12" w:space="0"/>
              <w:left w:val="nil"/>
              <w:bottom w:val="single" w:color="4874CB" w:sz="4" w:space="0"/>
              <w:right w:val="nil"/>
              <w:tl2br w:val="nil"/>
            </w:tcBorders>
            <w:shd w:val="clear" w:color="auto" w:fill="FFFFFF"/>
          </w:tcPr>
          <w:p w14:paraId="5707F011">
            <w:pPr>
              <w:rPr>
                <w:rFonts w:hint="default"/>
                <w:b w:val="0"/>
                <w:color w:val="000000"/>
                <w:vertAlign w:val="baseline"/>
                <w:lang w:val="en-US" w:eastAsia="zh-CN"/>
              </w:rPr>
            </w:pPr>
            <w:r>
              <w:rPr>
                <w:rFonts w:hint="eastAsia"/>
                <w:b w:val="0"/>
                <w:color w:val="000000"/>
                <w:vertAlign w:val="baseline"/>
                <w:lang w:val="en-US" w:eastAsia="zh-CN"/>
              </w:rPr>
              <w:t>编号</w:t>
            </w:r>
          </w:p>
        </w:tc>
        <w:tc>
          <w:tcPr>
            <w:tcW w:w="1350" w:type="dxa"/>
            <w:tcBorders>
              <w:top w:val="single" w:color="4874CB" w:sz="12" w:space="0"/>
              <w:left w:val="nil"/>
              <w:bottom w:val="single" w:color="4874CB" w:sz="4" w:space="0"/>
              <w:right w:val="nil"/>
            </w:tcBorders>
            <w:shd w:val="clear" w:color="auto" w:fill="FFFFFF"/>
          </w:tcPr>
          <w:p w14:paraId="0CE5A633">
            <w:pPr>
              <w:rPr>
                <w:rFonts w:hint="default"/>
                <w:b w:val="0"/>
                <w:color w:val="000000"/>
                <w:vertAlign w:val="baseline"/>
                <w:lang w:val="en-US" w:eastAsia="zh-CN"/>
              </w:rPr>
            </w:pPr>
            <w:r>
              <w:rPr>
                <w:rFonts w:hint="eastAsia"/>
                <w:b w:val="0"/>
                <w:color w:val="000000"/>
                <w:vertAlign w:val="baseline"/>
                <w:lang w:val="en-US" w:eastAsia="zh-CN"/>
              </w:rPr>
              <w:t>日期</w:t>
            </w:r>
          </w:p>
        </w:tc>
        <w:tc>
          <w:tcPr>
            <w:tcW w:w="5635" w:type="dxa"/>
            <w:tcBorders>
              <w:top w:val="single" w:color="4874CB" w:sz="12" w:space="0"/>
              <w:left w:val="nil"/>
              <w:bottom w:val="single" w:color="4874CB" w:sz="4" w:space="0"/>
              <w:right w:val="nil"/>
            </w:tcBorders>
            <w:shd w:val="clear" w:color="auto" w:fill="FFFFFF"/>
          </w:tcPr>
          <w:p w14:paraId="240CB7BC">
            <w:pPr>
              <w:rPr>
                <w:rFonts w:hint="default"/>
                <w:b w:val="0"/>
                <w:color w:val="000000"/>
                <w:vertAlign w:val="baseline"/>
                <w:lang w:val="en-US" w:eastAsia="zh-CN"/>
              </w:rPr>
            </w:pPr>
            <w:r>
              <w:rPr>
                <w:rFonts w:hint="eastAsia"/>
                <w:b w:val="0"/>
                <w:color w:val="000000"/>
                <w:vertAlign w:val="baseline"/>
                <w:lang w:val="en-US" w:eastAsia="zh-CN"/>
              </w:rPr>
              <w:t>内容</w:t>
            </w:r>
          </w:p>
        </w:tc>
        <w:tc>
          <w:tcPr>
            <w:tcW w:w="768" w:type="dxa"/>
            <w:tcBorders>
              <w:top w:val="single" w:color="4874CB" w:sz="12" w:space="0"/>
              <w:left w:val="nil"/>
              <w:bottom w:val="single" w:color="4874CB" w:sz="4" w:space="0"/>
              <w:right w:val="nil"/>
            </w:tcBorders>
            <w:shd w:val="clear" w:color="auto" w:fill="FFFFFF"/>
          </w:tcPr>
          <w:p w14:paraId="603C729B">
            <w:pPr>
              <w:rPr>
                <w:rFonts w:hint="default"/>
                <w:b w:val="0"/>
                <w:color w:val="000000"/>
                <w:vertAlign w:val="baseline"/>
                <w:lang w:val="en-US" w:eastAsia="zh-CN"/>
              </w:rPr>
            </w:pPr>
            <w:r>
              <w:rPr>
                <w:rFonts w:hint="eastAsia"/>
                <w:b w:val="0"/>
                <w:color w:val="000000"/>
                <w:vertAlign w:val="baseline"/>
                <w:lang w:val="en-US" w:eastAsia="zh-CN"/>
              </w:rPr>
              <w:t>作者</w:t>
            </w:r>
          </w:p>
        </w:tc>
      </w:tr>
      <w:tr w14:paraId="1BDE56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69" w:type="dxa"/>
            <w:tcBorders>
              <w:top w:val="single" w:color="4874CB" w:sz="4" w:space="0"/>
              <w:left w:val="nil"/>
              <w:bottom w:val="nil"/>
              <w:right w:val="nil"/>
            </w:tcBorders>
            <w:shd w:val="clear" w:color="auto" w:fill="FFFFFF"/>
          </w:tcPr>
          <w:p w14:paraId="7C340571">
            <w:pPr>
              <w:rPr>
                <w:rFonts w:hint="default"/>
                <w:b w:val="0"/>
                <w:color w:val="000000"/>
                <w:vertAlign w:val="baseline"/>
                <w:lang w:val="en-US" w:eastAsia="zh-CN"/>
              </w:rPr>
            </w:pPr>
            <w:r>
              <w:rPr>
                <w:rFonts w:hint="eastAsia"/>
                <w:b w:val="0"/>
                <w:color w:val="000000"/>
                <w:vertAlign w:val="baseline"/>
                <w:lang w:val="en-US" w:eastAsia="zh-CN"/>
              </w:rPr>
              <w:t>1.0</w:t>
            </w:r>
          </w:p>
        </w:tc>
        <w:tc>
          <w:tcPr>
            <w:tcW w:w="1350" w:type="dxa"/>
            <w:tcBorders>
              <w:top w:val="single" w:color="4874CB" w:sz="4" w:space="0"/>
              <w:left w:val="nil"/>
              <w:bottom w:val="nil"/>
              <w:right w:val="nil"/>
            </w:tcBorders>
            <w:shd w:val="clear" w:color="auto" w:fill="FFFFFF"/>
          </w:tcPr>
          <w:p w14:paraId="18F9702B">
            <w:pPr>
              <w:rPr>
                <w:rFonts w:hint="default"/>
                <w:b w:val="0"/>
                <w:color w:val="000000"/>
                <w:vertAlign w:val="baseline"/>
                <w:lang w:val="en-US" w:eastAsia="zh-CN"/>
              </w:rPr>
            </w:pPr>
            <w:r>
              <w:rPr>
                <w:rFonts w:hint="eastAsia"/>
                <w:b w:val="0"/>
                <w:color w:val="000000"/>
                <w:vertAlign w:val="baseline"/>
                <w:lang w:val="en-US" w:eastAsia="zh-CN"/>
              </w:rPr>
              <w:t>2024/12/29</w:t>
            </w:r>
          </w:p>
        </w:tc>
        <w:tc>
          <w:tcPr>
            <w:tcW w:w="5635" w:type="dxa"/>
            <w:tcBorders>
              <w:top w:val="single" w:color="4874CB" w:sz="4" w:space="0"/>
              <w:left w:val="nil"/>
              <w:bottom w:val="nil"/>
              <w:right w:val="nil"/>
            </w:tcBorders>
            <w:shd w:val="clear" w:color="auto" w:fill="FFFFFF"/>
          </w:tcPr>
          <w:p w14:paraId="3F735FD0">
            <w:pPr>
              <w:rPr>
                <w:rFonts w:hint="default"/>
                <w:b w:val="0"/>
                <w:color w:val="000000"/>
                <w:vertAlign w:val="baseline"/>
                <w:lang w:val="en-US" w:eastAsia="zh-CN"/>
              </w:rPr>
            </w:pPr>
            <w:r>
              <w:rPr>
                <w:rFonts w:hint="eastAsia"/>
                <w:b w:val="0"/>
                <w:color w:val="000000"/>
                <w:vertAlign w:val="baseline"/>
                <w:lang w:val="en-US" w:eastAsia="zh-CN"/>
              </w:rPr>
              <w:t>设定充值返利功能的界面表现和操作逻辑</w:t>
            </w:r>
          </w:p>
        </w:tc>
        <w:tc>
          <w:tcPr>
            <w:tcW w:w="768" w:type="dxa"/>
            <w:tcBorders>
              <w:top w:val="single" w:color="4874CB" w:sz="4" w:space="0"/>
              <w:left w:val="nil"/>
              <w:bottom w:val="nil"/>
              <w:right w:val="nil"/>
            </w:tcBorders>
            <w:shd w:val="clear" w:color="auto" w:fill="FFFFFF"/>
          </w:tcPr>
          <w:p w14:paraId="00263845">
            <w:pPr>
              <w:rPr>
                <w:rFonts w:hint="default"/>
                <w:b w:val="0"/>
                <w:color w:val="000000"/>
                <w:vertAlign w:val="baseline"/>
                <w:lang w:val="en-US" w:eastAsia="zh-CN"/>
              </w:rPr>
            </w:pPr>
            <w:r>
              <w:rPr>
                <w:rFonts w:hint="eastAsia"/>
                <w:b w:val="0"/>
                <w:color w:val="000000"/>
                <w:vertAlign w:val="baseline"/>
                <w:lang w:val="en-US" w:eastAsia="zh-CN"/>
              </w:rPr>
              <w:t>MC</w:t>
            </w:r>
          </w:p>
        </w:tc>
      </w:tr>
      <w:tr w14:paraId="4B62EC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69" w:type="dxa"/>
            <w:tcBorders>
              <w:top w:val="nil"/>
              <w:left w:val="nil"/>
              <w:bottom w:val="nil"/>
              <w:right w:val="nil"/>
            </w:tcBorders>
            <w:shd w:val="clear" w:color="auto" w:fill="FFFFFF"/>
          </w:tcPr>
          <w:p w14:paraId="4BE9E5CD">
            <w:pPr>
              <w:rPr>
                <w:rFonts w:hint="default"/>
                <w:b w:val="0"/>
                <w:color w:val="000000"/>
                <w:vertAlign w:val="baseline"/>
                <w:lang w:val="en-US" w:eastAsia="zh-CN"/>
              </w:rPr>
            </w:pPr>
          </w:p>
        </w:tc>
        <w:tc>
          <w:tcPr>
            <w:tcW w:w="1350" w:type="dxa"/>
            <w:tcBorders>
              <w:top w:val="nil"/>
              <w:left w:val="nil"/>
              <w:bottom w:val="nil"/>
              <w:right w:val="nil"/>
            </w:tcBorders>
            <w:shd w:val="clear" w:color="auto" w:fill="FFFFFF"/>
          </w:tcPr>
          <w:p w14:paraId="1AA8B929">
            <w:pPr>
              <w:rPr>
                <w:rFonts w:hint="default"/>
                <w:b w:val="0"/>
                <w:color w:val="000000"/>
                <w:vertAlign w:val="baseline"/>
                <w:lang w:val="en-US" w:eastAsia="zh-CN"/>
              </w:rPr>
            </w:pPr>
          </w:p>
        </w:tc>
        <w:tc>
          <w:tcPr>
            <w:tcW w:w="5635" w:type="dxa"/>
            <w:tcBorders>
              <w:top w:val="nil"/>
              <w:left w:val="nil"/>
              <w:bottom w:val="nil"/>
              <w:right w:val="nil"/>
            </w:tcBorders>
            <w:shd w:val="clear" w:color="auto" w:fill="FFFFFF"/>
          </w:tcPr>
          <w:p w14:paraId="35BD3C31">
            <w:pPr>
              <w:rPr>
                <w:rFonts w:hint="default"/>
                <w:b w:val="0"/>
                <w:color w:val="000000"/>
                <w:vertAlign w:val="baseline"/>
                <w:lang w:val="en-US" w:eastAsia="zh-CN"/>
              </w:rPr>
            </w:pPr>
          </w:p>
        </w:tc>
        <w:tc>
          <w:tcPr>
            <w:tcW w:w="768" w:type="dxa"/>
            <w:tcBorders>
              <w:top w:val="nil"/>
              <w:left w:val="nil"/>
              <w:bottom w:val="nil"/>
              <w:right w:val="nil"/>
            </w:tcBorders>
            <w:shd w:val="clear" w:color="auto" w:fill="FFFFFF"/>
          </w:tcPr>
          <w:p w14:paraId="225FE5B5">
            <w:pPr>
              <w:rPr>
                <w:rFonts w:hint="default"/>
                <w:b w:val="0"/>
                <w:color w:val="000000"/>
                <w:vertAlign w:val="baseline"/>
                <w:lang w:val="en-US" w:eastAsia="zh-CN"/>
              </w:rPr>
            </w:pPr>
          </w:p>
        </w:tc>
      </w:tr>
      <w:tr w14:paraId="123B36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69" w:type="dxa"/>
            <w:tcBorders>
              <w:top w:val="nil"/>
              <w:left w:val="nil"/>
              <w:bottom w:val="nil"/>
              <w:right w:val="nil"/>
            </w:tcBorders>
            <w:shd w:val="clear" w:color="auto" w:fill="FFFFFF"/>
          </w:tcPr>
          <w:p w14:paraId="1CDBD02E">
            <w:pPr>
              <w:rPr>
                <w:rFonts w:hint="default"/>
                <w:b w:val="0"/>
                <w:color w:val="000000"/>
                <w:vertAlign w:val="baseline"/>
                <w:lang w:val="en-US" w:eastAsia="zh-CN"/>
              </w:rPr>
            </w:pPr>
          </w:p>
        </w:tc>
        <w:tc>
          <w:tcPr>
            <w:tcW w:w="1350" w:type="dxa"/>
            <w:tcBorders>
              <w:top w:val="nil"/>
              <w:left w:val="nil"/>
              <w:bottom w:val="nil"/>
              <w:right w:val="nil"/>
            </w:tcBorders>
            <w:shd w:val="clear" w:color="auto" w:fill="FFFFFF"/>
          </w:tcPr>
          <w:p w14:paraId="23F3C7A9">
            <w:pPr>
              <w:rPr>
                <w:rFonts w:hint="default"/>
                <w:b w:val="0"/>
                <w:color w:val="000000"/>
                <w:vertAlign w:val="baseline"/>
                <w:lang w:val="en-US" w:eastAsia="zh-CN"/>
              </w:rPr>
            </w:pPr>
          </w:p>
        </w:tc>
        <w:tc>
          <w:tcPr>
            <w:tcW w:w="5635" w:type="dxa"/>
            <w:tcBorders>
              <w:top w:val="nil"/>
              <w:left w:val="nil"/>
              <w:bottom w:val="nil"/>
              <w:right w:val="nil"/>
            </w:tcBorders>
            <w:shd w:val="clear" w:color="auto" w:fill="FFFFFF"/>
          </w:tcPr>
          <w:p w14:paraId="3945F58A">
            <w:pPr>
              <w:rPr>
                <w:rFonts w:hint="default"/>
                <w:b w:val="0"/>
                <w:color w:val="000000"/>
                <w:vertAlign w:val="baseline"/>
                <w:lang w:val="en-US" w:eastAsia="zh-CN"/>
              </w:rPr>
            </w:pPr>
          </w:p>
        </w:tc>
        <w:tc>
          <w:tcPr>
            <w:tcW w:w="768" w:type="dxa"/>
            <w:tcBorders>
              <w:top w:val="nil"/>
              <w:left w:val="nil"/>
              <w:bottom w:val="nil"/>
              <w:right w:val="nil"/>
            </w:tcBorders>
            <w:shd w:val="clear" w:color="auto" w:fill="FFFFFF"/>
          </w:tcPr>
          <w:p w14:paraId="73041371">
            <w:pPr>
              <w:rPr>
                <w:rFonts w:hint="default"/>
                <w:b w:val="0"/>
                <w:color w:val="000000"/>
                <w:vertAlign w:val="baseline"/>
                <w:lang w:val="en-US" w:eastAsia="zh-CN"/>
              </w:rPr>
            </w:pPr>
          </w:p>
        </w:tc>
      </w:tr>
      <w:tr w14:paraId="646B80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69" w:type="dxa"/>
            <w:tcBorders>
              <w:top w:val="nil"/>
              <w:left w:val="nil"/>
              <w:bottom w:val="nil"/>
              <w:right w:val="nil"/>
            </w:tcBorders>
            <w:shd w:val="clear" w:color="auto" w:fill="FFFFFF"/>
          </w:tcPr>
          <w:p w14:paraId="2F16D52A">
            <w:pPr>
              <w:rPr>
                <w:rFonts w:hint="default"/>
                <w:b w:val="0"/>
                <w:color w:val="000000"/>
                <w:vertAlign w:val="baseline"/>
                <w:lang w:val="en-US" w:eastAsia="zh-CN"/>
              </w:rPr>
            </w:pPr>
          </w:p>
        </w:tc>
        <w:tc>
          <w:tcPr>
            <w:tcW w:w="1350" w:type="dxa"/>
            <w:tcBorders>
              <w:top w:val="nil"/>
              <w:left w:val="nil"/>
              <w:bottom w:val="nil"/>
              <w:right w:val="nil"/>
            </w:tcBorders>
            <w:shd w:val="clear" w:color="auto" w:fill="FFFFFF"/>
          </w:tcPr>
          <w:p w14:paraId="2620BB4A">
            <w:pPr>
              <w:rPr>
                <w:rFonts w:hint="default"/>
                <w:b w:val="0"/>
                <w:color w:val="000000"/>
                <w:vertAlign w:val="baseline"/>
                <w:lang w:val="en-US" w:eastAsia="zh-CN"/>
              </w:rPr>
            </w:pPr>
          </w:p>
        </w:tc>
        <w:tc>
          <w:tcPr>
            <w:tcW w:w="5635" w:type="dxa"/>
            <w:tcBorders>
              <w:top w:val="nil"/>
              <w:left w:val="nil"/>
              <w:bottom w:val="nil"/>
              <w:right w:val="nil"/>
            </w:tcBorders>
            <w:shd w:val="clear" w:color="auto" w:fill="FFFFFF"/>
          </w:tcPr>
          <w:p w14:paraId="1454EA5E">
            <w:pPr>
              <w:rPr>
                <w:rFonts w:hint="default"/>
                <w:b w:val="0"/>
                <w:color w:val="000000"/>
                <w:vertAlign w:val="baseline"/>
                <w:lang w:val="en-US" w:eastAsia="zh-CN"/>
              </w:rPr>
            </w:pPr>
          </w:p>
        </w:tc>
        <w:tc>
          <w:tcPr>
            <w:tcW w:w="768" w:type="dxa"/>
            <w:tcBorders>
              <w:top w:val="nil"/>
              <w:left w:val="nil"/>
              <w:bottom w:val="nil"/>
              <w:right w:val="nil"/>
            </w:tcBorders>
            <w:shd w:val="clear" w:color="auto" w:fill="FFFFFF"/>
          </w:tcPr>
          <w:p w14:paraId="41A02146">
            <w:pPr>
              <w:rPr>
                <w:rFonts w:hint="default"/>
                <w:b w:val="0"/>
                <w:color w:val="000000"/>
                <w:vertAlign w:val="baseline"/>
                <w:lang w:val="en-US" w:eastAsia="zh-CN"/>
              </w:rPr>
            </w:pPr>
          </w:p>
        </w:tc>
      </w:tr>
      <w:tr w14:paraId="41DE88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69" w:type="dxa"/>
            <w:tcBorders>
              <w:top w:val="nil"/>
              <w:left w:val="nil"/>
              <w:bottom w:val="single" w:color="4874CB" w:sz="12" w:space="0"/>
              <w:right w:val="nil"/>
            </w:tcBorders>
            <w:shd w:val="clear" w:color="auto" w:fill="FFFFFF"/>
          </w:tcPr>
          <w:p w14:paraId="6893894D">
            <w:pPr>
              <w:rPr>
                <w:rFonts w:hint="default"/>
                <w:b w:val="0"/>
                <w:color w:val="000000"/>
                <w:vertAlign w:val="baseline"/>
                <w:lang w:val="en-US" w:eastAsia="zh-CN"/>
              </w:rPr>
            </w:pPr>
          </w:p>
        </w:tc>
        <w:tc>
          <w:tcPr>
            <w:tcW w:w="1350" w:type="dxa"/>
            <w:tcBorders>
              <w:top w:val="nil"/>
              <w:left w:val="nil"/>
              <w:bottom w:val="single" w:color="4874CB" w:sz="12" w:space="0"/>
              <w:right w:val="nil"/>
            </w:tcBorders>
            <w:shd w:val="clear" w:color="auto" w:fill="FFFFFF"/>
          </w:tcPr>
          <w:p w14:paraId="6428BB1C">
            <w:pPr>
              <w:rPr>
                <w:rFonts w:hint="default"/>
                <w:b w:val="0"/>
                <w:color w:val="000000"/>
                <w:vertAlign w:val="baseline"/>
                <w:lang w:val="en-US" w:eastAsia="zh-CN"/>
              </w:rPr>
            </w:pPr>
          </w:p>
        </w:tc>
        <w:tc>
          <w:tcPr>
            <w:tcW w:w="5635" w:type="dxa"/>
            <w:tcBorders>
              <w:top w:val="nil"/>
              <w:left w:val="nil"/>
              <w:bottom w:val="single" w:color="4874CB" w:sz="12" w:space="0"/>
              <w:right w:val="nil"/>
            </w:tcBorders>
            <w:shd w:val="clear" w:color="auto" w:fill="FFFFFF"/>
          </w:tcPr>
          <w:p w14:paraId="19F9D7EE">
            <w:pPr>
              <w:rPr>
                <w:rFonts w:hint="default"/>
                <w:b w:val="0"/>
                <w:color w:val="000000"/>
                <w:vertAlign w:val="baseline"/>
                <w:lang w:val="en-US" w:eastAsia="zh-CN"/>
              </w:rPr>
            </w:pPr>
          </w:p>
        </w:tc>
        <w:tc>
          <w:tcPr>
            <w:tcW w:w="768" w:type="dxa"/>
            <w:tcBorders>
              <w:top w:val="nil"/>
              <w:left w:val="nil"/>
              <w:bottom w:val="single" w:color="4874CB" w:sz="12" w:space="0"/>
              <w:right w:val="nil"/>
            </w:tcBorders>
            <w:shd w:val="clear" w:color="auto" w:fill="FFFFFF"/>
          </w:tcPr>
          <w:p w14:paraId="21797E61">
            <w:pPr>
              <w:rPr>
                <w:rFonts w:hint="default"/>
                <w:b w:val="0"/>
                <w:color w:val="000000"/>
                <w:vertAlign w:val="baseline"/>
                <w:lang w:val="en-US" w:eastAsia="zh-CN"/>
              </w:rPr>
            </w:pPr>
          </w:p>
        </w:tc>
      </w:tr>
    </w:tbl>
    <w:p w14:paraId="7749F0CC">
      <w:pPr>
        <w:pStyle w:val="7"/>
        <w:tabs>
          <w:tab w:val="right" w:leader="dot" w:pos="8306"/>
        </w:tabs>
      </w:pPr>
      <w:r>
        <w:rPr>
          <w:rFonts w:hint="default"/>
          <w:lang w:val="en-US" w:eastAsia="zh-CN"/>
        </w:rPr>
        <w:fldChar w:fldCharType="begin"/>
      </w:r>
      <w:r>
        <w:rPr>
          <w:rFonts w:hint="default"/>
          <w:lang w:val="en-US" w:eastAsia="zh-CN"/>
        </w:rPr>
        <w:instrText xml:space="preserve">TOC \o "1-4" \h \u </w:instrText>
      </w:r>
      <w:r>
        <w:rPr>
          <w:rFonts w:hint="default"/>
          <w:lang w:val="en-US" w:eastAsia="zh-CN"/>
        </w:rPr>
        <w:fldChar w:fldCharType="separate"/>
      </w:r>
      <w:r>
        <w:rPr>
          <w:rFonts w:hint="default"/>
          <w:lang w:val="en-US" w:eastAsia="zh-CN"/>
        </w:rPr>
        <w:fldChar w:fldCharType="begin"/>
      </w:r>
      <w:r>
        <w:rPr>
          <w:rFonts w:hint="default"/>
          <w:lang w:val="en-US" w:eastAsia="zh-CN"/>
        </w:rPr>
        <w:instrText xml:space="preserve"> HYPERLINK \l _Toc20045 </w:instrText>
      </w:r>
      <w:r>
        <w:rPr>
          <w:rFonts w:hint="default"/>
          <w:lang w:val="en-US" w:eastAsia="zh-CN"/>
        </w:rPr>
        <w:fldChar w:fldCharType="separate"/>
      </w:r>
      <w:r>
        <w:rPr>
          <w:rFonts w:hint="eastAsia"/>
          <w:lang w:val="en-US" w:eastAsia="zh-CN"/>
        </w:rPr>
        <w:t>充值返利功能</w:t>
      </w:r>
      <w:r>
        <w:tab/>
      </w:r>
      <w:r>
        <w:fldChar w:fldCharType="begin"/>
      </w:r>
      <w:r>
        <w:instrText xml:space="preserve"> PAGEREF _Toc20045 \h </w:instrText>
      </w:r>
      <w:r>
        <w:fldChar w:fldCharType="separate"/>
      </w:r>
      <w:r>
        <w:t>1</w:t>
      </w:r>
      <w:r>
        <w:fldChar w:fldCharType="end"/>
      </w:r>
      <w:r>
        <w:rPr>
          <w:rFonts w:hint="default"/>
          <w:lang w:val="en-US" w:eastAsia="zh-CN"/>
        </w:rPr>
        <w:fldChar w:fldCharType="end"/>
      </w:r>
    </w:p>
    <w:p w14:paraId="40E7736B">
      <w:pPr>
        <w:pStyle w:val="9"/>
        <w:tabs>
          <w:tab w:val="right" w:leader="dot" w:pos="8306"/>
        </w:tabs>
      </w:pPr>
      <w:r>
        <w:rPr>
          <w:rFonts w:hint="default"/>
          <w:lang w:val="en-US" w:eastAsia="zh-CN"/>
        </w:rPr>
        <w:fldChar w:fldCharType="begin"/>
      </w:r>
      <w:r>
        <w:rPr>
          <w:rFonts w:hint="default"/>
          <w:lang w:val="en-US" w:eastAsia="zh-CN"/>
        </w:rPr>
        <w:instrText xml:space="preserve"> HYPERLINK \l _Toc31204 </w:instrText>
      </w:r>
      <w:r>
        <w:rPr>
          <w:rFonts w:hint="default"/>
          <w:lang w:val="en-US" w:eastAsia="zh-CN"/>
        </w:rPr>
        <w:fldChar w:fldCharType="separate"/>
      </w:r>
      <w:r>
        <w:rPr>
          <w:rFonts w:hint="eastAsia"/>
          <w:lang w:val="en-US" w:eastAsia="zh-CN"/>
        </w:rPr>
        <w:t>一、 设计目的</w:t>
      </w:r>
      <w:r>
        <w:tab/>
      </w:r>
      <w:r>
        <w:fldChar w:fldCharType="begin"/>
      </w:r>
      <w:r>
        <w:instrText xml:space="preserve"> PAGEREF _Toc31204 \h </w:instrText>
      </w:r>
      <w:r>
        <w:fldChar w:fldCharType="separate"/>
      </w:r>
      <w:r>
        <w:t>2</w:t>
      </w:r>
      <w:r>
        <w:fldChar w:fldCharType="end"/>
      </w:r>
      <w:r>
        <w:rPr>
          <w:rFonts w:hint="default"/>
          <w:lang w:val="en-US" w:eastAsia="zh-CN"/>
        </w:rPr>
        <w:fldChar w:fldCharType="end"/>
      </w:r>
    </w:p>
    <w:p w14:paraId="3A4A587A">
      <w:pPr>
        <w:pStyle w:val="9"/>
        <w:tabs>
          <w:tab w:val="right" w:leader="dot" w:pos="8306"/>
        </w:tabs>
      </w:pPr>
      <w:r>
        <w:rPr>
          <w:rFonts w:hint="default"/>
          <w:lang w:val="en-US" w:eastAsia="zh-CN"/>
        </w:rPr>
        <w:fldChar w:fldCharType="begin"/>
      </w:r>
      <w:r>
        <w:rPr>
          <w:rFonts w:hint="default"/>
          <w:lang w:val="en-US" w:eastAsia="zh-CN"/>
        </w:rPr>
        <w:instrText xml:space="preserve"> HYPERLINK \l _Toc18296 </w:instrText>
      </w:r>
      <w:r>
        <w:rPr>
          <w:rFonts w:hint="default"/>
          <w:lang w:val="en-US" w:eastAsia="zh-CN"/>
        </w:rPr>
        <w:fldChar w:fldCharType="separate"/>
      </w:r>
      <w:r>
        <w:rPr>
          <w:rFonts w:hint="eastAsia"/>
          <w:lang w:val="en-US" w:eastAsia="zh-CN"/>
        </w:rPr>
        <w:t>二、 系统概述</w:t>
      </w:r>
      <w:r>
        <w:tab/>
      </w:r>
      <w:r>
        <w:fldChar w:fldCharType="begin"/>
      </w:r>
      <w:r>
        <w:instrText xml:space="preserve"> PAGEREF _Toc18296 \h </w:instrText>
      </w:r>
      <w:r>
        <w:fldChar w:fldCharType="separate"/>
      </w:r>
      <w:r>
        <w:t>2</w:t>
      </w:r>
      <w:r>
        <w:fldChar w:fldCharType="end"/>
      </w:r>
      <w:r>
        <w:rPr>
          <w:rFonts w:hint="default"/>
          <w:lang w:val="en-US" w:eastAsia="zh-CN"/>
        </w:rPr>
        <w:fldChar w:fldCharType="end"/>
      </w:r>
    </w:p>
    <w:p w14:paraId="5E5C73E8">
      <w:pPr>
        <w:pStyle w:val="9"/>
        <w:tabs>
          <w:tab w:val="right" w:leader="dot" w:pos="8306"/>
        </w:tabs>
      </w:pPr>
      <w:r>
        <w:rPr>
          <w:rFonts w:hint="default"/>
          <w:lang w:val="en-US" w:eastAsia="zh-CN"/>
        </w:rPr>
        <w:fldChar w:fldCharType="begin"/>
      </w:r>
      <w:r>
        <w:rPr>
          <w:rFonts w:hint="default"/>
          <w:lang w:val="en-US" w:eastAsia="zh-CN"/>
        </w:rPr>
        <w:instrText xml:space="preserve"> HYPERLINK \l _Toc17891 </w:instrText>
      </w:r>
      <w:r>
        <w:rPr>
          <w:rFonts w:hint="default"/>
          <w:lang w:val="en-US" w:eastAsia="zh-CN"/>
        </w:rPr>
        <w:fldChar w:fldCharType="separate"/>
      </w:r>
      <w:r>
        <w:rPr>
          <w:rFonts w:hint="eastAsia"/>
          <w:lang w:val="en-US" w:eastAsia="zh-CN"/>
        </w:rPr>
        <w:t>三、 实现方式</w:t>
      </w:r>
      <w:r>
        <w:tab/>
      </w:r>
      <w:r>
        <w:fldChar w:fldCharType="begin"/>
      </w:r>
      <w:r>
        <w:instrText xml:space="preserve"> PAGEREF _Toc17891 \h </w:instrText>
      </w:r>
      <w:r>
        <w:fldChar w:fldCharType="separate"/>
      </w:r>
      <w:r>
        <w:t>3</w:t>
      </w:r>
      <w:r>
        <w:fldChar w:fldCharType="end"/>
      </w:r>
      <w:r>
        <w:rPr>
          <w:rFonts w:hint="default"/>
          <w:lang w:val="en-US" w:eastAsia="zh-CN"/>
        </w:rPr>
        <w:fldChar w:fldCharType="end"/>
      </w:r>
    </w:p>
    <w:p w14:paraId="09C2B076">
      <w:pPr>
        <w:pStyle w:val="6"/>
        <w:tabs>
          <w:tab w:val="right" w:leader="dot" w:pos="8306"/>
        </w:tabs>
      </w:pPr>
      <w:r>
        <w:rPr>
          <w:rFonts w:hint="default"/>
          <w:lang w:val="en-US" w:eastAsia="zh-CN"/>
        </w:rPr>
        <w:fldChar w:fldCharType="begin"/>
      </w:r>
      <w:r>
        <w:rPr>
          <w:rFonts w:hint="default"/>
          <w:lang w:val="en-US" w:eastAsia="zh-CN"/>
        </w:rPr>
        <w:instrText xml:space="preserve"> HYPERLINK \l _Toc19613 </w:instrText>
      </w:r>
      <w:r>
        <w:rPr>
          <w:rFonts w:hint="default"/>
          <w:lang w:val="en-US" w:eastAsia="zh-CN"/>
        </w:rPr>
        <w:fldChar w:fldCharType="separate"/>
      </w:r>
      <w:r>
        <w:rPr>
          <w:rFonts w:hint="eastAsia"/>
          <w:lang w:val="en-US" w:eastAsia="zh-CN"/>
        </w:rPr>
        <w:t>3.1 功能入口与主界面</w:t>
      </w:r>
      <w:r>
        <w:tab/>
      </w:r>
      <w:r>
        <w:fldChar w:fldCharType="begin"/>
      </w:r>
      <w:r>
        <w:instrText xml:space="preserve"> PAGEREF _Toc19613 \h </w:instrText>
      </w:r>
      <w:r>
        <w:fldChar w:fldCharType="separate"/>
      </w:r>
      <w:r>
        <w:t>3</w:t>
      </w:r>
      <w:r>
        <w:fldChar w:fldCharType="end"/>
      </w:r>
      <w:r>
        <w:rPr>
          <w:rFonts w:hint="default"/>
          <w:lang w:val="en-US" w:eastAsia="zh-CN"/>
        </w:rPr>
        <w:fldChar w:fldCharType="end"/>
      </w:r>
    </w:p>
    <w:p w14:paraId="41595BAB">
      <w:pPr>
        <w:pStyle w:val="8"/>
        <w:tabs>
          <w:tab w:val="right" w:leader="dot" w:pos="8306"/>
        </w:tabs>
      </w:pPr>
      <w:r>
        <w:rPr>
          <w:rFonts w:hint="default"/>
          <w:lang w:val="en-US" w:eastAsia="zh-CN"/>
        </w:rPr>
        <w:fldChar w:fldCharType="begin"/>
      </w:r>
      <w:r>
        <w:rPr>
          <w:rFonts w:hint="default"/>
          <w:lang w:val="en-US" w:eastAsia="zh-CN"/>
        </w:rPr>
        <w:instrText xml:space="preserve"> HYPERLINK \l _Toc19504 </w:instrText>
      </w:r>
      <w:r>
        <w:rPr>
          <w:rFonts w:hint="default"/>
          <w:lang w:val="en-US" w:eastAsia="zh-CN"/>
        </w:rPr>
        <w:fldChar w:fldCharType="separate"/>
      </w:r>
      <w:r>
        <w:rPr>
          <w:rFonts w:hint="eastAsia"/>
          <w:lang w:val="en-US" w:eastAsia="zh-CN"/>
        </w:rPr>
        <w:t>3.1.1 单充返利功能</w:t>
      </w:r>
      <w:r>
        <w:tab/>
      </w:r>
      <w:r>
        <w:fldChar w:fldCharType="begin"/>
      </w:r>
      <w:r>
        <w:instrText xml:space="preserve"> PAGEREF _Toc19504 \h </w:instrText>
      </w:r>
      <w:r>
        <w:fldChar w:fldCharType="separate"/>
      </w:r>
      <w:r>
        <w:t>4</w:t>
      </w:r>
      <w:r>
        <w:fldChar w:fldCharType="end"/>
      </w:r>
      <w:r>
        <w:rPr>
          <w:rFonts w:hint="default"/>
          <w:lang w:val="en-US" w:eastAsia="zh-CN"/>
        </w:rPr>
        <w:fldChar w:fldCharType="end"/>
      </w:r>
    </w:p>
    <w:p w14:paraId="591678D9">
      <w:pPr>
        <w:pStyle w:val="8"/>
        <w:tabs>
          <w:tab w:val="right" w:leader="dot" w:pos="8306"/>
        </w:tabs>
      </w:pPr>
      <w:r>
        <w:rPr>
          <w:rFonts w:hint="default"/>
          <w:lang w:val="en-US" w:eastAsia="zh-CN"/>
        </w:rPr>
        <w:fldChar w:fldCharType="begin"/>
      </w:r>
      <w:r>
        <w:rPr>
          <w:rFonts w:hint="default"/>
          <w:lang w:val="en-US" w:eastAsia="zh-CN"/>
        </w:rPr>
        <w:instrText xml:space="preserve"> HYPERLINK \l _Toc1318 </w:instrText>
      </w:r>
      <w:r>
        <w:rPr>
          <w:rFonts w:hint="default"/>
          <w:lang w:val="en-US" w:eastAsia="zh-CN"/>
        </w:rPr>
        <w:fldChar w:fldCharType="separate"/>
      </w:r>
      <w:r>
        <w:rPr>
          <w:rFonts w:hint="eastAsia"/>
          <w:lang w:val="en-US" w:eastAsia="zh-CN"/>
        </w:rPr>
        <w:t>3.1.2 累计返利功能</w:t>
      </w:r>
      <w:r>
        <w:tab/>
      </w:r>
      <w:r>
        <w:fldChar w:fldCharType="begin"/>
      </w:r>
      <w:r>
        <w:instrText xml:space="preserve"> PAGEREF _Toc1318 \h </w:instrText>
      </w:r>
      <w:r>
        <w:fldChar w:fldCharType="separate"/>
      </w:r>
      <w:r>
        <w:t>5</w:t>
      </w:r>
      <w:r>
        <w:fldChar w:fldCharType="end"/>
      </w:r>
      <w:r>
        <w:rPr>
          <w:rFonts w:hint="default"/>
          <w:lang w:val="en-US" w:eastAsia="zh-CN"/>
        </w:rPr>
        <w:fldChar w:fldCharType="end"/>
      </w:r>
    </w:p>
    <w:p w14:paraId="3D93B2AF">
      <w:pPr>
        <w:pStyle w:val="9"/>
        <w:tabs>
          <w:tab w:val="right" w:leader="dot" w:pos="8306"/>
        </w:tabs>
      </w:pPr>
      <w:r>
        <w:rPr>
          <w:rFonts w:hint="default"/>
          <w:lang w:val="en-US" w:eastAsia="zh-CN"/>
        </w:rPr>
        <w:fldChar w:fldCharType="begin"/>
      </w:r>
      <w:r>
        <w:rPr>
          <w:rFonts w:hint="default"/>
          <w:lang w:val="en-US" w:eastAsia="zh-CN"/>
        </w:rPr>
        <w:instrText xml:space="preserve"> HYPERLINK \l _Toc6755 </w:instrText>
      </w:r>
      <w:r>
        <w:rPr>
          <w:rFonts w:hint="default"/>
          <w:lang w:val="en-US" w:eastAsia="zh-CN"/>
        </w:rPr>
        <w:fldChar w:fldCharType="separate"/>
      </w:r>
      <w:r>
        <w:rPr>
          <w:rFonts w:hint="eastAsia"/>
          <w:lang w:val="en-US" w:eastAsia="zh-CN"/>
        </w:rPr>
        <w:t>四、 流程图</w:t>
      </w:r>
      <w:r>
        <w:tab/>
      </w:r>
      <w:r>
        <w:fldChar w:fldCharType="begin"/>
      </w:r>
      <w:r>
        <w:instrText xml:space="preserve"> PAGEREF _Toc6755 \h </w:instrText>
      </w:r>
      <w:r>
        <w:fldChar w:fldCharType="separate"/>
      </w:r>
      <w:r>
        <w:t>6</w:t>
      </w:r>
      <w:r>
        <w:fldChar w:fldCharType="end"/>
      </w:r>
      <w:r>
        <w:rPr>
          <w:rFonts w:hint="default"/>
          <w:lang w:val="en-US" w:eastAsia="zh-CN"/>
        </w:rPr>
        <w:fldChar w:fldCharType="end"/>
      </w:r>
    </w:p>
    <w:p w14:paraId="4213DC47">
      <w:pPr>
        <w:rPr>
          <w:rFonts w:hint="default"/>
          <w:lang w:val="en-US" w:eastAsia="zh-CN"/>
        </w:rPr>
      </w:pPr>
      <w:r>
        <w:rPr>
          <w:rFonts w:hint="default"/>
          <w:lang w:val="en-US" w:eastAsia="zh-CN"/>
        </w:rPr>
        <w:fldChar w:fldCharType="end"/>
      </w:r>
    </w:p>
    <w:p w14:paraId="5256F668">
      <w:pPr>
        <w:rPr>
          <w:rFonts w:hint="default"/>
          <w:lang w:val="en-US" w:eastAsia="zh-CN"/>
        </w:rPr>
      </w:pPr>
    </w:p>
    <w:p w14:paraId="61CD4C65">
      <w:pPr>
        <w:rPr>
          <w:rFonts w:hint="default"/>
          <w:lang w:val="en-US" w:eastAsia="zh-CN"/>
        </w:rPr>
      </w:pPr>
    </w:p>
    <w:p w14:paraId="2BFAAE55">
      <w:pPr>
        <w:rPr>
          <w:rFonts w:hint="default"/>
          <w:lang w:val="en-US" w:eastAsia="zh-CN"/>
        </w:rPr>
      </w:pPr>
    </w:p>
    <w:p w14:paraId="3671CC94">
      <w:pPr>
        <w:rPr>
          <w:rFonts w:hint="default"/>
          <w:lang w:val="en-US" w:eastAsia="zh-CN"/>
        </w:rPr>
      </w:pPr>
    </w:p>
    <w:p w14:paraId="7795649D">
      <w:pPr>
        <w:rPr>
          <w:rFonts w:hint="default"/>
          <w:lang w:val="en-US" w:eastAsia="zh-CN"/>
        </w:rPr>
      </w:pPr>
    </w:p>
    <w:p w14:paraId="325A3BDC">
      <w:pPr>
        <w:rPr>
          <w:rFonts w:hint="default"/>
          <w:lang w:val="en-US" w:eastAsia="zh-CN"/>
        </w:rPr>
      </w:pPr>
    </w:p>
    <w:p w14:paraId="2D083054">
      <w:pPr>
        <w:rPr>
          <w:rFonts w:hint="default"/>
          <w:lang w:val="en-US" w:eastAsia="zh-CN"/>
        </w:rPr>
      </w:pPr>
    </w:p>
    <w:p w14:paraId="6EF0D6C6">
      <w:pPr>
        <w:rPr>
          <w:rFonts w:hint="default"/>
          <w:lang w:val="en-US" w:eastAsia="zh-CN"/>
        </w:rPr>
      </w:pPr>
    </w:p>
    <w:p w14:paraId="6464B70A">
      <w:pPr>
        <w:rPr>
          <w:rFonts w:hint="default"/>
          <w:lang w:val="en-US" w:eastAsia="zh-CN"/>
        </w:rPr>
      </w:pPr>
    </w:p>
    <w:p w14:paraId="45683253">
      <w:pPr>
        <w:rPr>
          <w:rFonts w:hint="default"/>
          <w:lang w:val="en-US" w:eastAsia="zh-CN"/>
        </w:rPr>
      </w:pPr>
    </w:p>
    <w:p w14:paraId="72913398">
      <w:pPr>
        <w:rPr>
          <w:rFonts w:hint="default"/>
          <w:lang w:val="en-US" w:eastAsia="zh-CN"/>
        </w:rPr>
      </w:pPr>
    </w:p>
    <w:p w14:paraId="002F0E2C">
      <w:pPr>
        <w:rPr>
          <w:rFonts w:hint="default"/>
          <w:lang w:val="en-US" w:eastAsia="zh-CN"/>
        </w:rPr>
      </w:pPr>
    </w:p>
    <w:p w14:paraId="187D8007">
      <w:pPr>
        <w:rPr>
          <w:rFonts w:hint="default"/>
          <w:lang w:val="en-US" w:eastAsia="zh-CN"/>
        </w:rPr>
      </w:pPr>
    </w:p>
    <w:p w14:paraId="0E5B090D">
      <w:pPr>
        <w:rPr>
          <w:rFonts w:hint="default"/>
          <w:lang w:val="en-US" w:eastAsia="zh-CN"/>
        </w:rPr>
      </w:pPr>
    </w:p>
    <w:p w14:paraId="65440A87">
      <w:pPr>
        <w:rPr>
          <w:rFonts w:hint="default"/>
          <w:lang w:val="en-US" w:eastAsia="zh-CN"/>
        </w:rPr>
      </w:pPr>
    </w:p>
    <w:p w14:paraId="33C44EB1">
      <w:pPr>
        <w:rPr>
          <w:rFonts w:hint="default"/>
          <w:lang w:val="en-US" w:eastAsia="zh-CN"/>
        </w:rPr>
      </w:pPr>
    </w:p>
    <w:p w14:paraId="227F42A6">
      <w:pPr>
        <w:rPr>
          <w:rFonts w:hint="default"/>
          <w:lang w:val="en-US" w:eastAsia="zh-CN"/>
        </w:rPr>
      </w:pPr>
    </w:p>
    <w:p w14:paraId="097A3223">
      <w:pPr>
        <w:rPr>
          <w:rFonts w:hint="default"/>
          <w:lang w:val="en-US" w:eastAsia="zh-CN"/>
        </w:rPr>
      </w:pPr>
    </w:p>
    <w:p w14:paraId="7B3A75D6">
      <w:pPr>
        <w:rPr>
          <w:rFonts w:hint="default"/>
          <w:lang w:val="en-US" w:eastAsia="zh-CN"/>
        </w:rPr>
      </w:pPr>
    </w:p>
    <w:p w14:paraId="04BAB622">
      <w:pPr>
        <w:rPr>
          <w:rFonts w:hint="default"/>
          <w:lang w:val="en-US" w:eastAsia="zh-CN"/>
        </w:rPr>
      </w:pPr>
    </w:p>
    <w:p w14:paraId="1F4E5751">
      <w:pPr>
        <w:rPr>
          <w:rFonts w:hint="default"/>
          <w:lang w:val="en-US" w:eastAsia="zh-CN"/>
        </w:rPr>
      </w:pPr>
    </w:p>
    <w:p w14:paraId="05011725">
      <w:pPr>
        <w:rPr>
          <w:rFonts w:hint="default"/>
          <w:lang w:val="en-US" w:eastAsia="zh-CN"/>
        </w:rPr>
      </w:pPr>
    </w:p>
    <w:p w14:paraId="6AEAF0D5">
      <w:pPr>
        <w:rPr>
          <w:rFonts w:hint="default"/>
          <w:lang w:val="en-US" w:eastAsia="zh-CN"/>
        </w:rPr>
      </w:pPr>
    </w:p>
    <w:p w14:paraId="6CF13E24">
      <w:pPr>
        <w:rPr>
          <w:rFonts w:hint="default"/>
          <w:lang w:val="en-US" w:eastAsia="zh-CN"/>
        </w:rPr>
      </w:pPr>
    </w:p>
    <w:p w14:paraId="510F4F10">
      <w:pPr>
        <w:rPr>
          <w:rFonts w:hint="default"/>
          <w:lang w:val="en-US" w:eastAsia="zh-CN"/>
        </w:rPr>
      </w:pPr>
    </w:p>
    <w:p w14:paraId="1705D10F">
      <w:pPr>
        <w:pStyle w:val="3"/>
        <w:numPr>
          <w:ilvl w:val="0"/>
          <w:numId w:val="1"/>
        </w:numPr>
        <w:bidi w:val="0"/>
        <w:rPr>
          <w:rFonts w:hint="default"/>
          <w:lang w:val="en-US" w:eastAsia="zh-CN"/>
        </w:rPr>
      </w:pPr>
      <w:bookmarkStart w:id="8" w:name="_GoBack"/>
      <w:bookmarkEnd w:id="8"/>
      <w:bookmarkStart w:id="1" w:name="_Toc31204"/>
      <w:r>
        <w:rPr>
          <w:rFonts w:hint="eastAsia"/>
          <w:lang w:val="en-US" w:eastAsia="zh-CN"/>
        </w:rPr>
        <w:t>设计目的</w:t>
      </w:r>
      <w:bookmarkEnd w:id="1"/>
    </w:p>
    <w:p w14:paraId="74EAA237">
      <w:pPr>
        <w:numPr>
          <w:ilvl w:val="0"/>
          <w:numId w:val="2"/>
        </w:numPr>
        <w:ind w:left="425" w:leftChars="0" w:hanging="425" w:firstLineChars="0"/>
        <w:rPr>
          <w:rFonts w:hint="default"/>
          <w:lang w:val="en-US" w:eastAsia="zh-CN"/>
        </w:rPr>
      </w:pPr>
      <w:r>
        <w:rPr>
          <w:rFonts w:hint="eastAsia"/>
          <w:lang w:val="en-US" w:eastAsia="zh-CN"/>
        </w:rPr>
        <w:t>通过设定限时的单笔充值和累计充值返利的方式来促进玩家在游戏的前7日进行付费。</w:t>
      </w:r>
    </w:p>
    <w:p w14:paraId="37628BCB">
      <w:pPr>
        <w:numPr>
          <w:ilvl w:val="0"/>
          <w:numId w:val="2"/>
        </w:numPr>
        <w:ind w:left="425" w:leftChars="0" w:hanging="425" w:firstLineChars="0"/>
        <w:rPr>
          <w:rFonts w:hint="default"/>
          <w:lang w:val="en-US" w:eastAsia="zh-CN"/>
        </w:rPr>
      </w:pPr>
      <w:r>
        <w:rPr>
          <w:rFonts w:hint="eastAsia"/>
          <w:lang w:val="en-US" w:eastAsia="zh-CN"/>
        </w:rPr>
        <w:t>通过单笔充值和累计充值额度的设定来诱导玩家的进阶付费。</w:t>
      </w:r>
    </w:p>
    <w:p w14:paraId="4C5E1EE6">
      <w:pPr>
        <w:pStyle w:val="3"/>
        <w:numPr>
          <w:ilvl w:val="0"/>
          <w:numId w:val="1"/>
        </w:numPr>
        <w:bidi w:val="0"/>
        <w:rPr>
          <w:rFonts w:hint="default"/>
          <w:lang w:val="en-US" w:eastAsia="zh-CN"/>
        </w:rPr>
      </w:pPr>
      <w:bookmarkStart w:id="2" w:name="_Toc18296"/>
      <w:r>
        <w:rPr>
          <w:rFonts w:hint="eastAsia"/>
          <w:lang w:val="en-US" w:eastAsia="zh-CN"/>
        </w:rPr>
        <w:t>系统概述</w:t>
      </w:r>
      <w:bookmarkEnd w:id="2"/>
    </w:p>
    <w:p w14:paraId="24A7FD78">
      <w:pPr>
        <w:numPr>
          <w:ilvl w:val="0"/>
          <w:numId w:val="3"/>
        </w:numPr>
        <w:ind w:left="425" w:leftChars="0" w:hanging="425" w:firstLineChars="0"/>
        <w:rPr>
          <w:rFonts w:hint="default"/>
          <w:lang w:val="en-US" w:eastAsia="zh-CN"/>
        </w:rPr>
      </w:pPr>
      <w:r>
        <w:rPr>
          <w:rFonts w:hint="eastAsia"/>
          <w:lang w:val="en-US" w:eastAsia="zh-CN"/>
        </w:rPr>
        <w:t>充值返利功能入口位于主界面的顶部，该活动有时间的限制，时间结束之后则功能按钮消失。</w:t>
      </w:r>
    </w:p>
    <w:p w14:paraId="3C4B2B6D">
      <w:pPr>
        <w:numPr>
          <w:ilvl w:val="0"/>
          <w:numId w:val="3"/>
        </w:numPr>
        <w:ind w:left="425" w:leftChars="0" w:hanging="425" w:firstLineChars="0"/>
        <w:rPr>
          <w:rFonts w:hint="default"/>
          <w:lang w:val="en-US" w:eastAsia="zh-CN"/>
        </w:rPr>
      </w:pPr>
      <w:r>
        <w:rPr>
          <w:rFonts w:hint="eastAsia"/>
          <w:lang w:val="en-US" w:eastAsia="zh-CN"/>
        </w:rPr>
        <w:t>该活动的开始时间以玩家创建角色进入游戏的当日开始计时，持续7天，第8点0点活动下架，隐掉功能按钮。</w:t>
      </w:r>
    </w:p>
    <w:p w14:paraId="4ACD1025">
      <w:pPr>
        <w:numPr>
          <w:ilvl w:val="0"/>
          <w:numId w:val="3"/>
        </w:numPr>
        <w:ind w:left="425" w:leftChars="0" w:hanging="425" w:firstLineChars="0"/>
        <w:rPr>
          <w:rFonts w:hint="default"/>
          <w:lang w:val="en-US" w:eastAsia="zh-CN"/>
        </w:rPr>
      </w:pPr>
      <w:r>
        <w:rPr>
          <w:rFonts w:hint="eastAsia"/>
          <w:lang w:val="en-US" w:eastAsia="zh-CN"/>
        </w:rPr>
        <w:t>单笔充值活动的规则为在活动持续时间内，游戏内的单笔充值额度达标即可领取对应档次的奖励。</w:t>
      </w:r>
    </w:p>
    <w:p w14:paraId="707DF397">
      <w:pPr>
        <w:numPr>
          <w:ilvl w:val="0"/>
          <w:numId w:val="3"/>
        </w:numPr>
        <w:ind w:left="425" w:leftChars="0" w:hanging="425" w:firstLineChars="0"/>
        <w:rPr>
          <w:rFonts w:hint="default"/>
          <w:lang w:val="en-US" w:eastAsia="zh-CN"/>
        </w:rPr>
      </w:pPr>
      <w:r>
        <w:rPr>
          <w:rFonts w:hint="eastAsia"/>
          <w:lang w:val="en-US" w:eastAsia="zh-CN"/>
        </w:rPr>
        <w:t>累计充值活动的规则为在活动持续时间内，游戏内累计的充值额度达标即可领取对应档次的奖励。</w:t>
      </w:r>
    </w:p>
    <w:p w14:paraId="07849B21">
      <w:pPr>
        <w:numPr>
          <w:ilvl w:val="0"/>
          <w:numId w:val="3"/>
        </w:numPr>
        <w:ind w:left="425" w:leftChars="0" w:hanging="425" w:firstLineChars="0"/>
        <w:rPr>
          <w:rFonts w:hint="default"/>
          <w:lang w:val="en-US" w:eastAsia="zh-CN"/>
        </w:rPr>
      </w:pPr>
      <w:r>
        <w:rPr>
          <w:rFonts w:hint="eastAsia"/>
          <w:lang w:val="en-US" w:eastAsia="zh-CN"/>
        </w:rPr>
        <w:t>无论是单笔充值返利还是累计充值返利，每一档奖励在活动持续时间内仅能领取一次。</w:t>
      </w:r>
    </w:p>
    <w:p w14:paraId="20CE5241">
      <w:pPr>
        <w:pStyle w:val="3"/>
        <w:numPr>
          <w:ilvl w:val="0"/>
          <w:numId w:val="1"/>
        </w:numPr>
        <w:bidi w:val="0"/>
        <w:rPr>
          <w:rFonts w:hint="default"/>
          <w:lang w:val="en-US" w:eastAsia="zh-CN"/>
        </w:rPr>
      </w:pPr>
      <w:bookmarkStart w:id="3" w:name="_Toc17891"/>
      <w:r>
        <w:rPr>
          <w:rFonts w:hint="eastAsia"/>
          <w:lang w:val="en-US" w:eastAsia="zh-CN"/>
        </w:rPr>
        <w:t>实现方式</w:t>
      </w:r>
      <w:bookmarkEnd w:id="3"/>
    </w:p>
    <w:p w14:paraId="7DA93036">
      <w:pPr>
        <w:pStyle w:val="4"/>
        <w:bidi w:val="0"/>
        <w:rPr>
          <w:rFonts w:hint="eastAsia"/>
          <w:lang w:val="en-US" w:eastAsia="zh-CN"/>
        </w:rPr>
      </w:pPr>
      <w:bookmarkStart w:id="4" w:name="_Toc19613"/>
      <w:r>
        <w:rPr>
          <w:rFonts w:hint="eastAsia"/>
          <w:lang w:val="en-US" w:eastAsia="zh-CN"/>
        </w:rPr>
        <w:t>3.1 功能入口与主界面</w:t>
      </w:r>
      <w:bookmarkEnd w:id="4"/>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7B0C87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1FA92A80">
            <w:pPr>
              <w:rPr>
                <w:rFonts w:hint="default"/>
                <w:vertAlign w:val="baseline"/>
                <w:lang w:val="en-US" w:eastAsia="zh-CN"/>
              </w:rPr>
            </w:pPr>
            <w:r>
              <w:drawing>
                <wp:inline distT="0" distB="0" distL="114300" distR="114300">
                  <wp:extent cx="5273040" cy="2654300"/>
                  <wp:effectExtent l="0" t="0" r="381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3040" cy="2654300"/>
                          </a:xfrm>
                          <a:prstGeom prst="rect">
                            <a:avLst/>
                          </a:prstGeom>
                          <a:noFill/>
                          <a:ln>
                            <a:noFill/>
                          </a:ln>
                        </pic:spPr>
                      </pic:pic>
                    </a:graphicData>
                  </a:graphic>
                </wp:inline>
              </w:drawing>
            </w:r>
          </w:p>
        </w:tc>
      </w:tr>
      <w:tr w14:paraId="58685B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54777765">
            <w:pPr>
              <w:rPr>
                <w:rFonts w:hint="default"/>
                <w:vertAlign w:val="baseline"/>
                <w:lang w:val="en-US" w:eastAsia="zh-CN"/>
              </w:rPr>
            </w:pPr>
            <w:r>
              <w:rPr>
                <w:rFonts w:hint="eastAsia"/>
                <w:vertAlign w:val="baseline"/>
                <w:lang w:val="en-US" w:eastAsia="zh-CN"/>
              </w:rPr>
              <w:t>如上图所示，点击“充值返利”按钮之后可以打开对应的功能界面，如下图所示。</w:t>
            </w:r>
          </w:p>
        </w:tc>
      </w:tr>
      <w:tr w14:paraId="59F8C8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032B60E1">
            <w:pPr>
              <w:rPr>
                <w:rFonts w:hint="default"/>
                <w:vertAlign w:val="baseline"/>
                <w:lang w:val="en-US" w:eastAsia="zh-CN"/>
              </w:rPr>
            </w:pPr>
            <w:r>
              <w:drawing>
                <wp:inline distT="0" distB="0" distL="114300" distR="114300">
                  <wp:extent cx="5273040" cy="2654300"/>
                  <wp:effectExtent l="0" t="0" r="381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3040" cy="2654300"/>
                          </a:xfrm>
                          <a:prstGeom prst="rect">
                            <a:avLst/>
                          </a:prstGeom>
                          <a:noFill/>
                          <a:ln>
                            <a:noFill/>
                          </a:ln>
                        </pic:spPr>
                      </pic:pic>
                    </a:graphicData>
                  </a:graphic>
                </wp:inline>
              </w:drawing>
            </w:r>
          </w:p>
        </w:tc>
      </w:tr>
      <w:tr w14:paraId="1C9FE6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674F7DD2">
            <w:pPr>
              <w:rPr>
                <w:rFonts w:hint="default"/>
                <w:vertAlign w:val="baseline"/>
                <w:lang w:val="en-US" w:eastAsia="zh-CN"/>
              </w:rPr>
            </w:pPr>
            <w:r>
              <w:rPr>
                <w:rFonts w:hint="eastAsia"/>
                <w:vertAlign w:val="baseline"/>
                <w:lang w:val="en-US" w:eastAsia="zh-CN"/>
              </w:rPr>
              <w:t>如上图所示，为充值返利的功能界面，默认打开的为“单充返利”功能界面。</w:t>
            </w:r>
          </w:p>
        </w:tc>
      </w:tr>
    </w:tbl>
    <w:p w14:paraId="1F7D6EE2">
      <w:pPr>
        <w:pStyle w:val="5"/>
        <w:bidi w:val="0"/>
        <w:rPr>
          <w:rFonts w:hint="eastAsia"/>
          <w:lang w:val="en-US" w:eastAsia="zh-CN"/>
        </w:rPr>
      </w:pPr>
      <w:bookmarkStart w:id="5" w:name="_Toc19504"/>
      <w:r>
        <w:rPr>
          <w:rFonts w:hint="eastAsia"/>
          <w:lang w:val="en-US" w:eastAsia="zh-CN"/>
        </w:rPr>
        <w:t>3.1.1 单充返利功能</w:t>
      </w:r>
      <w:bookmarkEnd w:id="5"/>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30D827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3A87FF06">
            <w:pPr>
              <w:rPr>
                <w:rFonts w:hint="default"/>
                <w:vertAlign w:val="baseline"/>
                <w:lang w:val="en-US" w:eastAsia="zh-CN"/>
              </w:rPr>
            </w:pPr>
            <w:r>
              <w:drawing>
                <wp:inline distT="0" distB="0" distL="114300" distR="114300">
                  <wp:extent cx="5273040" cy="2654300"/>
                  <wp:effectExtent l="0" t="0" r="381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73040" cy="2654300"/>
                          </a:xfrm>
                          <a:prstGeom prst="rect">
                            <a:avLst/>
                          </a:prstGeom>
                          <a:noFill/>
                          <a:ln>
                            <a:noFill/>
                          </a:ln>
                        </pic:spPr>
                      </pic:pic>
                    </a:graphicData>
                  </a:graphic>
                </wp:inline>
              </w:drawing>
            </w:r>
          </w:p>
        </w:tc>
      </w:tr>
      <w:tr w14:paraId="4714D3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76BACCCD">
            <w:pPr>
              <w:rPr>
                <w:rFonts w:hint="eastAsia"/>
                <w:vertAlign w:val="baseline"/>
                <w:lang w:val="en-US" w:eastAsia="zh-CN"/>
              </w:rPr>
            </w:pPr>
            <w:r>
              <w:rPr>
                <w:rFonts w:hint="eastAsia"/>
                <w:vertAlign w:val="baseline"/>
                <w:lang w:val="en-US" w:eastAsia="zh-CN"/>
              </w:rPr>
              <w:t>如上图所示，为单充返利界面，界面内容定义如下：</w:t>
            </w:r>
          </w:p>
          <w:p w14:paraId="57319289">
            <w:pPr>
              <w:numPr>
                <w:ilvl w:val="0"/>
                <w:numId w:val="4"/>
              </w:numPr>
              <w:ind w:left="425" w:leftChars="0" w:hanging="425" w:firstLineChars="0"/>
              <w:rPr>
                <w:rFonts w:hint="default"/>
                <w:vertAlign w:val="baseline"/>
                <w:lang w:val="en-US" w:eastAsia="zh-CN"/>
              </w:rPr>
            </w:pPr>
            <w:r>
              <w:rPr>
                <w:rFonts w:hint="eastAsia"/>
                <w:vertAlign w:val="baseline"/>
                <w:lang w:val="en-US" w:eastAsia="zh-CN"/>
              </w:rPr>
              <w:t>界面标题：充值返利</w:t>
            </w:r>
          </w:p>
          <w:p w14:paraId="54DEA568">
            <w:pPr>
              <w:numPr>
                <w:ilvl w:val="0"/>
                <w:numId w:val="4"/>
              </w:numPr>
              <w:ind w:left="425" w:leftChars="0" w:hanging="425" w:firstLineChars="0"/>
              <w:rPr>
                <w:rFonts w:hint="default"/>
                <w:vertAlign w:val="baseline"/>
                <w:lang w:val="en-US" w:eastAsia="zh-CN"/>
              </w:rPr>
            </w:pPr>
            <w:r>
              <w:rPr>
                <w:rFonts w:hint="eastAsia"/>
                <w:vertAlign w:val="baseline"/>
                <w:lang w:val="en-US" w:eastAsia="zh-CN"/>
              </w:rPr>
              <w:t>活动时间：文字内容如图所示。活动的开始时间跟着角色走，角色创建成功的当天为活动开始的第一天，向后到第8天0点活动结束。</w:t>
            </w:r>
          </w:p>
          <w:p w14:paraId="6E5AAA2C">
            <w:pPr>
              <w:numPr>
                <w:ilvl w:val="0"/>
                <w:numId w:val="4"/>
              </w:numPr>
              <w:ind w:left="425" w:leftChars="0" w:hanging="425" w:firstLineChars="0"/>
              <w:rPr>
                <w:rFonts w:hint="default"/>
                <w:vertAlign w:val="baseline"/>
                <w:lang w:val="en-US" w:eastAsia="zh-CN"/>
              </w:rPr>
            </w:pPr>
            <w:r>
              <w:rPr>
                <w:rFonts w:hint="eastAsia"/>
                <w:vertAlign w:val="baseline"/>
                <w:lang w:val="en-US" w:eastAsia="zh-CN"/>
              </w:rPr>
              <w:t>活动规则：文字内容如图所示。在活动持续时间内，单笔充值达到了对应档次，则可以领取对应档次的奖励。特别的：如果领取时包裹空间不足，则给出：包裹空间不足！的弹框提示，且无法领取。</w:t>
            </w:r>
          </w:p>
          <w:p w14:paraId="026F3B4F">
            <w:pPr>
              <w:numPr>
                <w:ilvl w:val="0"/>
                <w:numId w:val="4"/>
              </w:numPr>
              <w:ind w:left="425" w:leftChars="0" w:hanging="425" w:firstLineChars="0"/>
              <w:rPr>
                <w:rFonts w:hint="default"/>
                <w:vertAlign w:val="baseline"/>
                <w:lang w:val="en-US" w:eastAsia="zh-CN"/>
              </w:rPr>
            </w:pPr>
            <w:r>
              <w:rPr>
                <w:rFonts w:hint="eastAsia"/>
                <w:vertAlign w:val="baseline"/>
                <w:lang w:val="en-US" w:eastAsia="zh-CN"/>
              </w:rPr>
              <w:t>页签标题：单充返利。</w:t>
            </w:r>
          </w:p>
          <w:p w14:paraId="49FF5144">
            <w:pPr>
              <w:numPr>
                <w:ilvl w:val="0"/>
                <w:numId w:val="4"/>
              </w:numPr>
              <w:ind w:left="425" w:leftChars="0" w:hanging="425" w:firstLineChars="0"/>
              <w:rPr>
                <w:rFonts w:hint="default"/>
                <w:vertAlign w:val="baseline"/>
                <w:lang w:val="en-US" w:eastAsia="zh-CN"/>
              </w:rPr>
            </w:pPr>
            <w:r>
              <w:rPr>
                <w:rFonts w:hint="eastAsia"/>
                <w:vertAlign w:val="baseline"/>
                <w:lang w:val="en-US" w:eastAsia="zh-CN"/>
              </w:rPr>
              <w:t>奖励列表：整个列表区域为可上下拖动的区域，按照配置进行每一档奖励的充值条件和奖励内容的读取。</w:t>
            </w:r>
          </w:p>
          <w:p w14:paraId="1AD562B0">
            <w:pPr>
              <w:numPr>
                <w:ilvl w:val="0"/>
                <w:numId w:val="4"/>
              </w:numPr>
              <w:ind w:left="425" w:leftChars="0" w:hanging="425" w:firstLineChars="0"/>
              <w:rPr>
                <w:rFonts w:hint="default"/>
                <w:vertAlign w:val="baseline"/>
                <w:lang w:val="en-US" w:eastAsia="zh-CN"/>
              </w:rPr>
            </w:pPr>
            <w:r>
              <w:rPr>
                <w:rFonts w:hint="eastAsia"/>
                <w:vertAlign w:val="baseline"/>
                <w:lang w:val="en-US" w:eastAsia="zh-CN"/>
              </w:rPr>
              <w:t>奖励状态：按照当前玩家是否达标、是否领取奖励可以分为三种状态：</w:t>
            </w:r>
          </w:p>
          <w:p w14:paraId="6BB0B663">
            <w:pPr>
              <w:numPr>
                <w:ilvl w:val="0"/>
                <w:numId w:val="5"/>
              </w:numPr>
              <w:ind w:left="0" w:leftChars="0" w:firstLine="400" w:firstLineChars="0"/>
              <w:rPr>
                <w:rFonts w:hint="default"/>
                <w:vertAlign w:val="baseline"/>
                <w:lang w:val="en-US" w:eastAsia="zh-CN"/>
              </w:rPr>
            </w:pPr>
            <w:r>
              <w:rPr>
                <w:rFonts w:hint="eastAsia"/>
                <w:vertAlign w:val="baseline"/>
                <w:lang w:val="en-US" w:eastAsia="zh-CN"/>
              </w:rPr>
              <w:t>已领取：如果玩家已经达标，且成功领取了奖励，则用纯文本显示：已领取。并将该条内容至于界面尾部。</w:t>
            </w:r>
          </w:p>
          <w:p w14:paraId="77FEF0A3">
            <w:pPr>
              <w:numPr>
                <w:ilvl w:val="0"/>
                <w:numId w:val="5"/>
              </w:numPr>
              <w:ind w:left="0" w:leftChars="0" w:firstLine="400" w:firstLineChars="0"/>
              <w:rPr>
                <w:rFonts w:hint="default"/>
                <w:vertAlign w:val="baseline"/>
                <w:lang w:val="en-US" w:eastAsia="zh-CN"/>
              </w:rPr>
            </w:pPr>
            <w:r>
              <w:rPr>
                <w:rFonts w:hint="eastAsia"/>
                <w:vertAlign w:val="baseline"/>
                <w:lang w:val="en-US" w:eastAsia="zh-CN"/>
              </w:rPr>
              <w:t>可领取：如果玩家已经达标，但还未领取奖励，则显示“领取奖励”的按钮，点击按钮之后如果包裹空间充足，则发放奖励，状态置为第一条状态。</w:t>
            </w:r>
          </w:p>
          <w:p w14:paraId="4A34EF9C">
            <w:pPr>
              <w:numPr>
                <w:ilvl w:val="0"/>
                <w:numId w:val="5"/>
              </w:numPr>
              <w:ind w:left="0" w:leftChars="0" w:firstLine="400" w:firstLineChars="0"/>
              <w:rPr>
                <w:rFonts w:hint="default"/>
                <w:vertAlign w:val="baseline"/>
                <w:lang w:val="en-US" w:eastAsia="zh-CN"/>
              </w:rPr>
            </w:pPr>
            <w:r>
              <w:rPr>
                <w:rFonts w:hint="eastAsia"/>
                <w:vertAlign w:val="baseline"/>
                <w:lang w:val="en-US" w:eastAsia="zh-CN"/>
              </w:rPr>
              <w:t>不可领取：如果玩家未达标，则显示“前往充值”的按钮，点击之后打开充值功能界面。</w:t>
            </w:r>
          </w:p>
          <w:p w14:paraId="20BFBAE9">
            <w:pPr>
              <w:numPr>
                <w:ilvl w:val="0"/>
                <w:numId w:val="6"/>
              </w:numPr>
              <w:ind w:left="425" w:leftChars="0" w:hanging="425" w:firstLineChars="0"/>
              <w:rPr>
                <w:rFonts w:hint="default"/>
                <w:vertAlign w:val="baseline"/>
                <w:lang w:val="en-US" w:eastAsia="zh-CN"/>
              </w:rPr>
            </w:pPr>
            <w:r>
              <w:rPr>
                <w:rFonts w:hint="eastAsia"/>
                <w:vertAlign w:val="baseline"/>
                <w:lang w:val="en-US" w:eastAsia="zh-CN"/>
              </w:rPr>
              <w:t>每一条奖励均需要在按钮上方添加需要单笔充值多少的条件显示。</w:t>
            </w:r>
          </w:p>
        </w:tc>
      </w:tr>
    </w:tbl>
    <w:p w14:paraId="7AF585AA">
      <w:pPr>
        <w:pStyle w:val="5"/>
        <w:bidi w:val="0"/>
        <w:rPr>
          <w:rFonts w:hint="eastAsia"/>
          <w:lang w:val="en-US" w:eastAsia="zh-CN"/>
        </w:rPr>
      </w:pPr>
      <w:bookmarkStart w:id="6" w:name="_Toc1318"/>
      <w:r>
        <w:rPr>
          <w:rFonts w:hint="eastAsia"/>
          <w:lang w:val="en-US" w:eastAsia="zh-CN"/>
        </w:rPr>
        <w:t>3.1.2 累计返利功能</w:t>
      </w:r>
      <w:bookmarkEnd w:id="6"/>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0FE30E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3043144E">
            <w:pPr>
              <w:rPr>
                <w:rFonts w:hint="default"/>
                <w:vertAlign w:val="baseline"/>
                <w:lang w:val="en-US" w:eastAsia="zh-CN"/>
              </w:rPr>
            </w:pPr>
            <w:r>
              <w:drawing>
                <wp:inline distT="0" distB="0" distL="114300" distR="114300">
                  <wp:extent cx="5273040" cy="2654300"/>
                  <wp:effectExtent l="0" t="0" r="381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3040" cy="2654300"/>
                          </a:xfrm>
                          <a:prstGeom prst="rect">
                            <a:avLst/>
                          </a:prstGeom>
                          <a:noFill/>
                          <a:ln>
                            <a:noFill/>
                          </a:ln>
                        </pic:spPr>
                      </pic:pic>
                    </a:graphicData>
                  </a:graphic>
                </wp:inline>
              </w:drawing>
            </w:r>
          </w:p>
        </w:tc>
      </w:tr>
      <w:tr w14:paraId="1165F4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4D11B462">
            <w:pPr>
              <w:rPr>
                <w:rFonts w:hint="eastAsia"/>
                <w:vertAlign w:val="baseline"/>
                <w:lang w:val="en-US" w:eastAsia="zh-CN"/>
              </w:rPr>
            </w:pPr>
            <w:r>
              <w:rPr>
                <w:rFonts w:hint="eastAsia"/>
                <w:vertAlign w:val="baseline"/>
                <w:lang w:val="en-US" w:eastAsia="zh-CN"/>
              </w:rPr>
              <w:t>如上图所示，切换到“累充返利”页签之后可以打开累充返利活动界面，该界面与单充返利的不同点有：</w:t>
            </w:r>
          </w:p>
          <w:p w14:paraId="4A47B4B3">
            <w:pPr>
              <w:numPr>
                <w:ilvl w:val="0"/>
                <w:numId w:val="7"/>
              </w:numPr>
              <w:ind w:left="425" w:leftChars="0" w:hanging="425" w:firstLineChars="0"/>
              <w:rPr>
                <w:rFonts w:hint="default"/>
                <w:vertAlign w:val="baseline"/>
                <w:lang w:val="en-US" w:eastAsia="zh-CN"/>
              </w:rPr>
            </w:pPr>
            <w:r>
              <w:rPr>
                <w:rFonts w:hint="eastAsia"/>
                <w:vertAlign w:val="baseline"/>
                <w:lang w:val="en-US" w:eastAsia="zh-CN"/>
              </w:rPr>
              <w:t>需要在界面的页签区域右方添加当前已经累计充值的总额度显示，注意：此处的累计充值总额度仅计算活动时间内的。</w:t>
            </w:r>
          </w:p>
          <w:p w14:paraId="1226C0A0">
            <w:pPr>
              <w:numPr>
                <w:ilvl w:val="0"/>
                <w:numId w:val="7"/>
              </w:numPr>
              <w:ind w:left="425" w:leftChars="0" w:hanging="425" w:firstLineChars="0"/>
              <w:rPr>
                <w:rFonts w:hint="default"/>
                <w:vertAlign w:val="baseline"/>
                <w:lang w:val="en-US" w:eastAsia="zh-CN"/>
              </w:rPr>
            </w:pPr>
            <w:r>
              <w:rPr>
                <w:rFonts w:hint="eastAsia"/>
                <w:vertAlign w:val="baseline"/>
                <w:lang w:val="en-US" w:eastAsia="zh-CN"/>
              </w:rPr>
              <w:t>每一档的累计充值额度都是包含的关系，比如累计充值6元档次已达成，那么玩家只需要再充值6元就可以达成累计充值12元的档次。</w:t>
            </w:r>
          </w:p>
          <w:p w14:paraId="0EF67991">
            <w:pPr>
              <w:numPr>
                <w:ilvl w:val="0"/>
                <w:numId w:val="7"/>
              </w:numPr>
              <w:ind w:left="425" w:leftChars="0" w:hanging="425" w:firstLineChars="0"/>
              <w:rPr>
                <w:rFonts w:hint="default"/>
                <w:vertAlign w:val="baseline"/>
                <w:lang w:val="en-US" w:eastAsia="zh-CN"/>
              </w:rPr>
            </w:pPr>
            <w:r>
              <w:rPr>
                <w:rFonts w:hint="eastAsia"/>
                <w:vertAlign w:val="baseline"/>
                <w:lang w:val="en-US" w:eastAsia="zh-CN"/>
              </w:rPr>
              <w:t>特别的，如果活动结束时，玩家有奖励未领取，则系统自动以邮件附件的形式发放给玩家。邮件标题：充值返利奖励发放。</w:t>
            </w:r>
          </w:p>
        </w:tc>
      </w:tr>
    </w:tbl>
    <w:p w14:paraId="485A97B7">
      <w:pPr>
        <w:pStyle w:val="3"/>
        <w:numPr>
          <w:ilvl w:val="0"/>
          <w:numId w:val="1"/>
        </w:numPr>
        <w:bidi w:val="0"/>
        <w:rPr>
          <w:rFonts w:hint="default"/>
          <w:lang w:val="en-US" w:eastAsia="zh-CN"/>
        </w:rPr>
      </w:pPr>
      <w:bookmarkStart w:id="7" w:name="_Toc6755"/>
      <w:r>
        <w:rPr>
          <w:rFonts w:hint="eastAsia"/>
          <w:lang w:val="en-US" w:eastAsia="zh-CN"/>
        </w:rPr>
        <w:t>流程图</w:t>
      </w:r>
      <w:bookmarkEnd w:id="7"/>
    </w:p>
    <w:p w14:paraId="51ED756F">
      <w:pPr>
        <w:rPr>
          <w:rFonts w:hint="default"/>
          <w:lang w:val="en-US" w:eastAsia="zh-CN"/>
        </w:rPr>
      </w:pPr>
      <w:r>
        <w:drawing>
          <wp:inline distT="0" distB="0" distL="114300" distR="114300">
            <wp:extent cx="3037205" cy="4568190"/>
            <wp:effectExtent l="0" t="0" r="1079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3037205" cy="456819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1C5989"/>
    <w:multiLevelType w:val="singleLevel"/>
    <w:tmpl w:val="801C5989"/>
    <w:lvl w:ilvl="0" w:tentative="0">
      <w:start w:val="1"/>
      <w:numFmt w:val="decimal"/>
      <w:lvlText w:val="%1."/>
      <w:lvlJc w:val="left"/>
      <w:pPr>
        <w:ind w:left="425" w:hanging="425"/>
      </w:pPr>
      <w:rPr>
        <w:rFonts w:hint="default"/>
      </w:rPr>
    </w:lvl>
  </w:abstractNum>
  <w:abstractNum w:abstractNumId="1">
    <w:nsid w:val="8B98E38B"/>
    <w:multiLevelType w:val="singleLevel"/>
    <w:tmpl w:val="8B98E38B"/>
    <w:lvl w:ilvl="0" w:tentative="0">
      <w:start w:val="1"/>
      <w:numFmt w:val="decimal"/>
      <w:lvlText w:val="%1."/>
      <w:lvlJc w:val="left"/>
      <w:pPr>
        <w:ind w:left="425" w:hanging="425"/>
      </w:pPr>
      <w:rPr>
        <w:rFonts w:hint="default"/>
      </w:rPr>
    </w:lvl>
  </w:abstractNum>
  <w:abstractNum w:abstractNumId="2">
    <w:nsid w:val="BBE81783"/>
    <w:multiLevelType w:val="singleLevel"/>
    <w:tmpl w:val="BBE81783"/>
    <w:lvl w:ilvl="0" w:tentative="0">
      <w:start w:val="1"/>
      <w:numFmt w:val="chineseCounting"/>
      <w:suff w:val="nothing"/>
      <w:lvlText w:val="%1、"/>
      <w:lvlJc w:val="left"/>
      <w:pPr>
        <w:ind w:left="0" w:firstLine="420"/>
      </w:pPr>
      <w:rPr>
        <w:rFonts w:hint="eastAsia"/>
      </w:rPr>
    </w:lvl>
  </w:abstractNum>
  <w:abstractNum w:abstractNumId="3">
    <w:nsid w:val="BCF70D25"/>
    <w:multiLevelType w:val="singleLevel"/>
    <w:tmpl w:val="BCF70D25"/>
    <w:lvl w:ilvl="0" w:tentative="0">
      <w:start w:val="1"/>
      <w:numFmt w:val="decimal"/>
      <w:lvlText w:val="%1."/>
      <w:lvlJc w:val="left"/>
      <w:pPr>
        <w:ind w:left="425" w:hanging="425"/>
      </w:pPr>
      <w:rPr>
        <w:rFonts w:hint="default"/>
      </w:rPr>
    </w:lvl>
  </w:abstractNum>
  <w:abstractNum w:abstractNumId="4">
    <w:nsid w:val="CAE2B464"/>
    <w:multiLevelType w:val="singleLevel"/>
    <w:tmpl w:val="CAE2B464"/>
    <w:lvl w:ilvl="0" w:tentative="0">
      <w:start w:val="1"/>
      <w:numFmt w:val="decimalEnclosedCircleChinese"/>
      <w:suff w:val="nothing"/>
      <w:lvlText w:val="%1　"/>
      <w:lvlJc w:val="left"/>
      <w:pPr>
        <w:ind w:left="0" w:firstLine="400"/>
      </w:pPr>
      <w:rPr>
        <w:rFonts w:hint="eastAsia"/>
      </w:rPr>
    </w:lvl>
  </w:abstractNum>
  <w:abstractNum w:abstractNumId="5">
    <w:nsid w:val="E58BBA5E"/>
    <w:multiLevelType w:val="singleLevel"/>
    <w:tmpl w:val="E58BBA5E"/>
    <w:lvl w:ilvl="0" w:tentative="0">
      <w:start w:val="1"/>
      <w:numFmt w:val="decimal"/>
      <w:lvlText w:val="%1."/>
      <w:lvlJc w:val="left"/>
      <w:pPr>
        <w:ind w:left="425" w:hanging="425"/>
      </w:pPr>
      <w:rPr>
        <w:rFonts w:hint="default"/>
      </w:rPr>
    </w:lvl>
  </w:abstractNum>
  <w:abstractNum w:abstractNumId="6">
    <w:nsid w:val="0093228A"/>
    <w:multiLevelType w:val="singleLevel"/>
    <w:tmpl w:val="0093228A"/>
    <w:lvl w:ilvl="0" w:tentative="0">
      <w:start w:val="7"/>
      <w:numFmt w:val="decimal"/>
      <w:lvlText w:val="%1."/>
      <w:lvlJc w:val="left"/>
      <w:pPr>
        <w:tabs>
          <w:tab w:val="left" w:pos="420"/>
        </w:tabs>
        <w:ind w:left="425" w:leftChars="0" w:hanging="425" w:firstLineChars="0"/>
      </w:pPr>
      <w:rPr>
        <w:rFonts w:hint="default"/>
      </w:rPr>
    </w:lvl>
  </w:abstractNum>
  <w:num w:numId="1">
    <w:abstractNumId w:val="2"/>
  </w:num>
  <w:num w:numId="2">
    <w:abstractNumId w:val="1"/>
  </w:num>
  <w:num w:numId="3">
    <w:abstractNumId w:val="3"/>
  </w:num>
  <w:num w:numId="4">
    <w:abstractNumId w:val="5"/>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561CA7"/>
    <w:rsid w:val="05B82F81"/>
    <w:rsid w:val="0B401DBE"/>
    <w:rsid w:val="15C67CBB"/>
    <w:rsid w:val="172212EC"/>
    <w:rsid w:val="1EA9242D"/>
    <w:rsid w:val="220A4C64"/>
    <w:rsid w:val="38B467AE"/>
    <w:rsid w:val="50A162A8"/>
    <w:rsid w:val="5E126C3E"/>
    <w:rsid w:val="6ACE43D9"/>
    <w:rsid w:val="72026C19"/>
    <w:rsid w:val="7E2C1551"/>
    <w:rsid w:val="7E716E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2">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toc 1"/>
    <w:basedOn w:val="1"/>
    <w:next w:val="1"/>
    <w:uiPriority w:val="0"/>
  </w:style>
  <w:style w:type="paragraph" w:styleId="8">
    <w:name w:val="toc 4"/>
    <w:basedOn w:val="1"/>
    <w:next w:val="1"/>
    <w:uiPriority w:val="0"/>
    <w:pPr>
      <w:ind w:left="1260" w:leftChars="600"/>
    </w:pPr>
  </w:style>
  <w:style w:type="paragraph" w:styleId="9">
    <w:name w:val="toc 2"/>
    <w:basedOn w:val="1"/>
    <w:next w:val="1"/>
    <w:uiPriority w:val="0"/>
    <w:pPr>
      <w:ind w:left="420" w:leftChars="200"/>
    </w:p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0</TotalTime>
  <ScaleCrop>false</ScaleCrop>
  <LinksUpToDate>false</LinksUpToDate>
  <CharactersWithSpaces>0</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2024-12-30T04:27:44Z</dcterms:created>
  <dc:creator>Administrator</dc:creator>
  <cp:lastModifiedBy>企业用户_255442825</cp:lastModifiedBy>
  <dcterms:modified xsi:type="dcterms:W3CDTF">2024-12-30T06:05:33Z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KSOTemplateDocerSaveRecord">
    <vt:lpwstr>eyJoZGlkIjoiODVjNDc4ODYzMDRhNzczNDcxYThjMzcwYzI4YjI2N2UiLCJ1c2VySWQiOiIxNTI3OTQyMzU2In0=</vt:lpwstr>
  </property>
  <property fmtid="{D5CDD505-2E9C-101B-9397-08002B2CF9AE}" pid="4" name="ICV">
    <vt:lpwstr>E0F7692D41D24D99BDD9F082D886EA38_12</vt:lpwstr>
  </property>
</Properties>
</file>