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094D62">
      <w:pPr>
        <w:pStyle w:val="2"/>
        <w:bidi w:val="0"/>
        <w:jc w:val="center"/>
        <w:rPr>
          <w:rFonts w:hint="eastAsia"/>
          <w:lang w:val="en-US" w:eastAsia="zh-CN"/>
        </w:rPr>
      </w:pPr>
      <w:bookmarkStart w:id="0" w:name="_Toc30340"/>
      <w:r>
        <w:rPr>
          <w:rFonts w:hint="eastAsia"/>
          <w:lang w:val="en-US" w:eastAsia="zh-CN"/>
        </w:rPr>
        <w:t>进阶礼包功能</w:t>
      </w:r>
      <w:bookmarkEnd w:id="0"/>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10"/>
        <w:gridCol w:w="1369"/>
        <w:gridCol w:w="5446"/>
        <w:gridCol w:w="797"/>
      </w:tblGrid>
      <w:tr w14:paraId="5BFD6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0" w:type="dxa"/>
            <w:tcBorders>
              <w:top w:val="single" w:color="4874CB" w:sz="12" w:space="0"/>
              <w:left w:val="nil"/>
              <w:bottom w:val="single" w:color="4874CB" w:sz="4" w:space="0"/>
              <w:right w:val="nil"/>
              <w:tl2br w:val="nil"/>
            </w:tcBorders>
            <w:shd w:val="clear" w:color="auto" w:fill="FFFFFF"/>
          </w:tcPr>
          <w:p w14:paraId="17A7AD40">
            <w:pPr>
              <w:rPr>
                <w:rFonts w:hint="default"/>
                <w:b w:val="0"/>
                <w:color w:val="000000"/>
                <w:vertAlign w:val="baseline"/>
                <w:lang w:val="en-US" w:eastAsia="zh-CN"/>
              </w:rPr>
            </w:pPr>
            <w:r>
              <w:rPr>
                <w:rFonts w:hint="eastAsia"/>
                <w:b w:val="0"/>
                <w:color w:val="000000"/>
                <w:vertAlign w:val="baseline"/>
                <w:lang w:val="en-US" w:eastAsia="zh-CN"/>
              </w:rPr>
              <w:t>编号</w:t>
            </w:r>
          </w:p>
        </w:tc>
        <w:tc>
          <w:tcPr>
            <w:tcW w:w="1369" w:type="dxa"/>
            <w:tcBorders>
              <w:top w:val="single" w:color="4874CB" w:sz="12" w:space="0"/>
              <w:left w:val="nil"/>
              <w:bottom w:val="single" w:color="4874CB" w:sz="4" w:space="0"/>
              <w:right w:val="nil"/>
            </w:tcBorders>
            <w:shd w:val="clear" w:color="auto" w:fill="FFFFFF"/>
          </w:tcPr>
          <w:p w14:paraId="7D30E856">
            <w:pPr>
              <w:rPr>
                <w:rFonts w:hint="default"/>
                <w:b w:val="0"/>
                <w:color w:val="000000"/>
                <w:vertAlign w:val="baseline"/>
                <w:lang w:val="en-US" w:eastAsia="zh-CN"/>
              </w:rPr>
            </w:pPr>
            <w:r>
              <w:rPr>
                <w:rFonts w:hint="eastAsia"/>
                <w:b w:val="0"/>
                <w:color w:val="000000"/>
                <w:vertAlign w:val="baseline"/>
                <w:lang w:val="en-US" w:eastAsia="zh-CN"/>
              </w:rPr>
              <w:t>日期</w:t>
            </w:r>
          </w:p>
        </w:tc>
        <w:tc>
          <w:tcPr>
            <w:tcW w:w="5446" w:type="dxa"/>
            <w:tcBorders>
              <w:top w:val="single" w:color="4874CB" w:sz="12" w:space="0"/>
              <w:left w:val="nil"/>
              <w:bottom w:val="single" w:color="4874CB" w:sz="4" w:space="0"/>
              <w:right w:val="nil"/>
            </w:tcBorders>
            <w:shd w:val="clear" w:color="auto" w:fill="FFFFFF"/>
          </w:tcPr>
          <w:p w14:paraId="700651A5">
            <w:pPr>
              <w:rPr>
                <w:rFonts w:hint="default"/>
                <w:b w:val="0"/>
                <w:color w:val="000000"/>
                <w:vertAlign w:val="baseline"/>
                <w:lang w:val="en-US" w:eastAsia="zh-CN"/>
              </w:rPr>
            </w:pPr>
            <w:r>
              <w:rPr>
                <w:rFonts w:hint="eastAsia"/>
                <w:b w:val="0"/>
                <w:color w:val="000000"/>
                <w:vertAlign w:val="baseline"/>
                <w:lang w:val="en-US" w:eastAsia="zh-CN"/>
              </w:rPr>
              <w:t>内容</w:t>
            </w:r>
          </w:p>
        </w:tc>
        <w:tc>
          <w:tcPr>
            <w:tcW w:w="797" w:type="dxa"/>
            <w:tcBorders>
              <w:top w:val="single" w:color="4874CB" w:sz="12" w:space="0"/>
              <w:left w:val="nil"/>
              <w:bottom w:val="single" w:color="4874CB" w:sz="4" w:space="0"/>
              <w:right w:val="nil"/>
            </w:tcBorders>
            <w:shd w:val="clear" w:color="auto" w:fill="FFFFFF"/>
          </w:tcPr>
          <w:p w14:paraId="553D5FFB">
            <w:pPr>
              <w:rPr>
                <w:rFonts w:hint="default"/>
                <w:b w:val="0"/>
                <w:color w:val="000000"/>
                <w:vertAlign w:val="baseline"/>
                <w:lang w:val="en-US" w:eastAsia="zh-CN"/>
              </w:rPr>
            </w:pPr>
            <w:r>
              <w:rPr>
                <w:rFonts w:hint="eastAsia"/>
                <w:b w:val="0"/>
                <w:color w:val="000000"/>
                <w:vertAlign w:val="baseline"/>
                <w:lang w:val="en-US" w:eastAsia="zh-CN"/>
              </w:rPr>
              <w:t>作者</w:t>
            </w:r>
          </w:p>
        </w:tc>
      </w:tr>
      <w:tr w14:paraId="17D36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0" w:type="dxa"/>
            <w:tcBorders>
              <w:top w:val="single" w:color="4874CB" w:sz="4" w:space="0"/>
              <w:left w:val="nil"/>
              <w:bottom w:val="nil"/>
              <w:right w:val="nil"/>
            </w:tcBorders>
            <w:shd w:val="clear" w:color="auto" w:fill="FFFFFF"/>
          </w:tcPr>
          <w:p w14:paraId="7E274385">
            <w:pPr>
              <w:rPr>
                <w:rFonts w:hint="default"/>
                <w:b w:val="0"/>
                <w:color w:val="000000"/>
                <w:vertAlign w:val="baseline"/>
                <w:lang w:val="en-US" w:eastAsia="zh-CN"/>
              </w:rPr>
            </w:pPr>
            <w:r>
              <w:rPr>
                <w:rFonts w:hint="eastAsia"/>
                <w:b w:val="0"/>
                <w:color w:val="000000"/>
                <w:vertAlign w:val="baseline"/>
                <w:lang w:val="en-US" w:eastAsia="zh-CN"/>
              </w:rPr>
              <w:t>1.0</w:t>
            </w:r>
          </w:p>
        </w:tc>
        <w:tc>
          <w:tcPr>
            <w:tcW w:w="1369" w:type="dxa"/>
            <w:tcBorders>
              <w:top w:val="single" w:color="4874CB" w:sz="4" w:space="0"/>
              <w:left w:val="nil"/>
              <w:bottom w:val="nil"/>
              <w:right w:val="nil"/>
            </w:tcBorders>
            <w:shd w:val="clear" w:color="auto" w:fill="FFFFFF"/>
          </w:tcPr>
          <w:p w14:paraId="6793B676">
            <w:pPr>
              <w:rPr>
                <w:rFonts w:hint="default"/>
                <w:b w:val="0"/>
                <w:color w:val="000000"/>
                <w:vertAlign w:val="baseline"/>
                <w:lang w:val="en-US" w:eastAsia="zh-CN"/>
              </w:rPr>
            </w:pPr>
            <w:r>
              <w:rPr>
                <w:rFonts w:hint="eastAsia"/>
                <w:b w:val="0"/>
                <w:color w:val="000000"/>
                <w:vertAlign w:val="baseline"/>
                <w:lang w:val="en-US" w:eastAsia="zh-CN"/>
              </w:rPr>
              <w:t>2024/12/30</w:t>
            </w:r>
          </w:p>
        </w:tc>
        <w:tc>
          <w:tcPr>
            <w:tcW w:w="5446" w:type="dxa"/>
            <w:tcBorders>
              <w:top w:val="single" w:color="4874CB" w:sz="4" w:space="0"/>
              <w:left w:val="nil"/>
              <w:bottom w:val="nil"/>
              <w:right w:val="nil"/>
            </w:tcBorders>
            <w:shd w:val="clear" w:color="auto" w:fill="FFFFFF"/>
          </w:tcPr>
          <w:p w14:paraId="1E3F90BB">
            <w:pPr>
              <w:rPr>
                <w:rFonts w:hint="default"/>
                <w:b w:val="0"/>
                <w:color w:val="000000"/>
                <w:vertAlign w:val="baseline"/>
                <w:lang w:val="en-US" w:eastAsia="zh-CN"/>
              </w:rPr>
            </w:pPr>
            <w:r>
              <w:rPr>
                <w:rFonts w:hint="eastAsia"/>
                <w:b w:val="0"/>
                <w:color w:val="000000"/>
                <w:vertAlign w:val="baseline"/>
                <w:lang w:val="en-US" w:eastAsia="zh-CN"/>
              </w:rPr>
              <w:t>设定进阶礼包功能的界面表现和操作规则</w:t>
            </w:r>
          </w:p>
        </w:tc>
        <w:tc>
          <w:tcPr>
            <w:tcW w:w="797" w:type="dxa"/>
            <w:tcBorders>
              <w:top w:val="single" w:color="4874CB" w:sz="4" w:space="0"/>
              <w:left w:val="nil"/>
              <w:bottom w:val="nil"/>
              <w:right w:val="nil"/>
            </w:tcBorders>
            <w:shd w:val="clear" w:color="auto" w:fill="FFFFFF"/>
          </w:tcPr>
          <w:p w14:paraId="3AEBB1AE">
            <w:pPr>
              <w:rPr>
                <w:rFonts w:hint="default"/>
                <w:b w:val="0"/>
                <w:color w:val="000000"/>
                <w:vertAlign w:val="baseline"/>
                <w:lang w:val="en-US" w:eastAsia="zh-CN"/>
              </w:rPr>
            </w:pPr>
            <w:r>
              <w:rPr>
                <w:rFonts w:hint="eastAsia"/>
                <w:b w:val="0"/>
                <w:color w:val="000000"/>
                <w:vertAlign w:val="baseline"/>
                <w:lang w:val="en-US" w:eastAsia="zh-CN"/>
              </w:rPr>
              <w:t>MC</w:t>
            </w:r>
          </w:p>
        </w:tc>
      </w:tr>
      <w:tr w14:paraId="67A5F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0" w:type="dxa"/>
            <w:tcBorders>
              <w:top w:val="nil"/>
              <w:left w:val="nil"/>
              <w:bottom w:val="nil"/>
              <w:right w:val="nil"/>
            </w:tcBorders>
            <w:shd w:val="clear" w:color="auto" w:fill="FFFFFF"/>
          </w:tcPr>
          <w:p w14:paraId="32527505">
            <w:pPr>
              <w:rPr>
                <w:rFonts w:hint="default"/>
                <w:b w:val="0"/>
                <w:color w:val="000000"/>
                <w:vertAlign w:val="baseline"/>
                <w:lang w:val="en-US" w:eastAsia="zh-CN"/>
              </w:rPr>
            </w:pPr>
          </w:p>
        </w:tc>
        <w:tc>
          <w:tcPr>
            <w:tcW w:w="1369" w:type="dxa"/>
            <w:tcBorders>
              <w:top w:val="nil"/>
              <w:left w:val="nil"/>
              <w:bottom w:val="nil"/>
              <w:right w:val="nil"/>
            </w:tcBorders>
            <w:shd w:val="clear" w:color="auto" w:fill="FFFFFF"/>
          </w:tcPr>
          <w:p w14:paraId="40ADA2A9">
            <w:pPr>
              <w:rPr>
                <w:rFonts w:hint="default"/>
                <w:b w:val="0"/>
                <w:color w:val="000000"/>
                <w:vertAlign w:val="baseline"/>
                <w:lang w:val="en-US" w:eastAsia="zh-CN"/>
              </w:rPr>
            </w:pPr>
          </w:p>
        </w:tc>
        <w:tc>
          <w:tcPr>
            <w:tcW w:w="5446" w:type="dxa"/>
            <w:tcBorders>
              <w:top w:val="nil"/>
              <w:left w:val="nil"/>
              <w:bottom w:val="nil"/>
              <w:right w:val="nil"/>
            </w:tcBorders>
            <w:shd w:val="clear" w:color="auto" w:fill="FFFFFF"/>
          </w:tcPr>
          <w:p w14:paraId="226FB515">
            <w:pPr>
              <w:rPr>
                <w:rFonts w:hint="default"/>
                <w:b w:val="0"/>
                <w:color w:val="000000"/>
                <w:vertAlign w:val="baseline"/>
                <w:lang w:val="en-US" w:eastAsia="zh-CN"/>
              </w:rPr>
            </w:pPr>
          </w:p>
        </w:tc>
        <w:tc>
          <w:tcPr>
            <w:tcW w:w="797" w:type="dxa"/>
            <w:tcBorders>
              <w:top w:val="nil"/>
              <w:left w:val="nil"/>
              <w:bottom w:val="nil"/>
              <w:right w:val="nil"/>
            </w:tcBorders>
            <w:shd w:val="clear" w:color="auto" w:fill="FFFFFF"/>
          </w:tcPr>
          <w:p w14:paraId="65871DFF">
            <w:pPr>
              <w:rPr>
                <w:rFonts w:hint="default"/>
                <w:b w:val="0"/>
                <w:color w:val="000000"/>
                <w:vertAlign w:val="baseline"/>
                <w:lang w:val="en-US" w:eastAsia="zh-CN"/>
              </w:rPr>
            </w:pPr>
          </w:p>
        </w:tc>
      </w:tr>
      <w:tr w14:paraId="06D56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0" w:type="dxa"/>
            <w:tcBorders>
              <w:top w:val="nil"/>
              <w:left w:val="nil"/>
              <w:bottom w:val="nil"/>
              <w:right w:val="nil"/>
            </w:tcBorders>
            <w:shd w:val="clear" w:color="auto" w:fill="FFFFFF"/>
          </w:tcPr>
          <w:p w14:paraId="2DD20673">
            <w:pPr>
              <w:rPr>
                <w:rFonts w:hint="default"/>
                <w:b w:val="0"/>
                <w:color w:val="000000"/>
                <w:vertAlign w:val="baseline"/>
                <w:lang w:val="en-US" w:eastAsia="zh-CN"/>
              </w:rPr>
            </w:pPr>
          </w:p>
        </w:tc>
        <w:tc>
          <w:tcPr>
            <w:tcW w:w="1369" w:type="dxa"/>
            <w:tcBorders>
              <w:top w:val="nil"/>
              <w:left w:val="nil"/>
              <w:bottom w:val="nil"/>
              <w:right w:val="nil"/>
            </w:tcBorders>
            <w:shd w:val="clear" w:color="auto" w:fill="FFFFFF"/>
          </w:tcPr>
          <w:p w14:paraId="45EF8BFE">
            <w:pPr>
              <w:rPr>
                <w:rFonts w:hint="default"/>
                <w:b w:val="0"/>
                <w:color w:val="000000"/>
                <w:vertAlign w:val="baseline"/>
                <w:lang w:val="en-US" w:eastAsia="zh-CN"/>
              </w:rPr>
            </w:pPr>
          </w:p>
        </w:tc>
        <w:tc>
          <w:tcPr>
            <w:tcW w:w="5446" w:type="dxa"/>
            <w:tcBorders>
              <w:top w:val="nil"/>
              <w:left w:val="nil"/>
              <w:bottom w:val="nil"/>
              <w:right w:val="nil"/>
            </w:tcBorders>
            <w:shd w:val="clear" w:color="auto" w:fill="FFFFFF"/>
          </w:tcPr>
          <w:p w14:paraId="4CDCDFCF">
            <w:pPr>
              <w:rPr>
                <w:rFonts w:hint="default"/>
                <w:b w:val="0"/>
                <w:color w:val="000000"/>
                <w:vertAlign w:val="baseline"/>
                <w:lang w:val="en-US" w:eastAsia="zh-CN"/>
              </w:rPr>
            </w:pPr>
          </w:p>
        </w:tc>
        <w:tc>
          <w:tcPr>
            <w:tcW w:w="797" w:type="dxa"/>
            <w:tcBorders>
              <w:top w:val="nil"/>
              <w:left w:val="nil"/>
              <w:bottom w:val="nil"/>
              <w:right w:val="nil"/>
            </w:tcBorders>
            <w:shd w:val="clear" w:color="auto" w:fill="FFFFFF"/>
          </w:tcPr>
          <w:p w14:paraId="2806E173">
            <w:pPr>
              <w:rPr>
                <w:rFonts w:hint="default"/>
                <w:b w:val="0"/>
                <w:color w:val="000000"/>
                <w:vertAlign w:val="baseline"/>
                <w:lang w:val="en-US" w:eastAsia="zh-CN"/>
              </w:rPr>
            </w:pPr>
          </w:p>
        </w:tc>
      </w:tr>
      <w:tr w14:paraId="478578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0" w:type="dxa"/>
            <w:tcBorders>
              <w:top w:val="nil"/>
              <w:left w:val="nil"/>
              <w:bottom w:val="single" w:color="4874CB" w:sz="12" w:space="0"/>
              <w:right w:val="nil"/>
            </w:tcBorders>
            <w:shd w:val="clear" w:color="auto" w:fill="FFFFFF"/>
          </w:tcPr>
          <w:p w14:paraId="3E87DCBD">
            <w:pPr>
              <w:rPr>
                <w:rFonts w:hint="default"/>
                <w:b w:val="0"/>
                <w:color w:val="000000"/>
                <w:vertAlign w:val="baseline"/>
                <w:lang w:val="en-US" w:eastAsia="zh-CN"/>
              </w:rPr>
            </w:pPr>
          </w:p>
        </w:tc>
        <w:tc>
          <w:tcPr>
            <w:tcW w:w="1369" w:type="dxa"/>
            <w:tcBorders>
              <w:top w:val="nil"/>
              <w:left w:val="nil"/>
              <w:bottom w:val="single" w:color="4874CB" w:sz="12" w:space="0"/>
              <w:right w:val="nil"/>
            </w:tcBorders>
            <w:shd w:val="clear" w:color="auto" w:fill="FFFFFF"/>
          </w:tcPr>
          <w:p w14:paraId="2C09CF42">
            <w:pPr>
              <w:rPr>
                <w:rFonts w:hint="default"/>
                <w:b w:val="0"/>
                <w:color w:val="000000"/>
                <w:vertAlign w:val="baseline"/>
                <w:lang w:val="en-US" w:eastAsia="zh-CN"/>
              </w:rPr>
            </w:pPr>
          </w:p>
        </w:tc>
        <w:tc>
          <w:tcPr>
            <w:tcW w:w="5446" w:type="dxa"/>
            <w:tcBorders>
              <w:top w:val="nil"/>
              <w:left w:val="nil"/>
              <w:bottom w:val="single" w:color="4874CB" w:sz="12" w:space="0"/>
              <w:right w:val="nil"/>
            </w:tcBorders>
            <w:shd w:val="clear" w:color="auto" w:fill="FFFFFF"/>
          </w:tcPr>
          <w:p w14:paraId="5E409EC6">
            <w:pPr>
              <w:rPr>
                <w:rFonts w:hint="default"/>
                <w:b w:val="0"/>
                <w:color w:val="000000"/>
                <w:vertAlign w:val="baseline"/>
                <w:lang w:val="en-US" w:eastAsia="zh-CN"/>
              </w:rPr>
            </w:pPr>
          </w:p>
        </w:tc>
        <w:tc>
          <w:tcPr>
            <w:tcW w:w="797" w:type="dxa"/>
            <w:tcBorders>
              <w:top w:val="nil"/>
              <w:left w:val="nil"/>
              <w:bottom w:val="single" w:color="4874CB" w:sz="12" w:space="0"/>
              <w:right w:val="nil"/>
            </w:tcBorders>
            <w:shd w:val="clear" w:color="auto" w:fill="FFFFFF"/>
          </w:tcPr>
          <w:p w14:paraId="1AEB7461">
            <w:pPr>
              <w:rPr>
                <w:rFonts w:hint="default"/>
                <w:b w:val="0"/>
                <w:color w:val="000000"/>
                <w:vertAlign w:val="baseline"/>
                <w:lang w:val="en-US" w:eastAsia="zh-CN"/>
              </w:rPr>
            </w:pPr>
          </w:p>
        </w:tc>
      </w:tr>
    </w:tbl>
    <w:p w14:paraId="61D2B389">
      <w:pPr>
        <w:pStyle w:val="6"/>
        <w:tabs>
          <w:tab w:val="right" w:leader="dot" w:pos="8306"/>
        </w:tabs>
      </w:pPr>
      <w:r>
        <w:rPr>
          <w:rFonts w:hint="default"/>
          <w:lang w:val="en-US" w:eastAsia="zh-CN"/>
        </w:rPr>
        <w:fldChar w:fldCharType="begin"/>
      </w:r>
      <w:r>
        <w:rPr>
          <w:rFonts w:hint="default"/>
          <w:lang w:val="en-US" w:eastAsia="zh-CN"/>
        </w:rPr>
        <w:instrText xml:space="preserve">TOC \o "1-4"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_Toc30340 </w:instrText>
      </w:r>
      <w:r>
        <w:rPr>
          <w:rFonts w:hint="default"/>
          <w:lang w:val="en-US" w:eastAsia="zh-CN"/>
        </w:rPr>
        <w:fldChar w:fldCharType="separate"/>
      </w:r>
      <w:r>
        <w:rPr>
          <w:rFonts w:hint="eastAsia"/>
          <w:lang w:val="en-US" w:eastAsia="zh-CN"/>
        </w:rPr>
        <w:t>进阶礼包功能</w:t>
      </w:r>
      <w:r>
        <w:tab/>
      </w:r>
      <w:r>
        <w:fldChar w:fldCharType="begin"/>
      </w:r>
      <w:r>
        <w:instrText xml:space="preserve"> PAGEREF _Toc30340 \h </w:instrText>
      </w:r>
      <w:r>
        <w:fldChar w:fldCharType="separate"/>
      </w:r>
      <w:r>
        <w:t>1</w:t>
      </w:r>
      <w:r>
        <w:fldChar w:fldCharType="end"/>
      </w:r>
      <w:r>
        <w:rPr>
          <w:rFonts w:hint="default"/>
          <w:lang w:val="en-US" w:eastAsia="zh-CN"/>
        </w:rPr>
        <w:fldChar w:fldCharType="end"/>
      </w:r>
    </w:p>
    <w:p w14:paraId="63F29D34">
      <w:pPr>
        <w:pStyle w:val="7"/>
        <w:tabs>
          <w:tab w:val="right" w:leader="dot" w:pos="8306"/>
        </w:tabs>
      </w:pPr>
      <w:r>
        <w:rPr>
          <w:rFonts w:hint="default"/>
          <w:lang w:val="en-US" w:eastAsia="zh-CN"/>
        </w:rPr>
        <w:fldChar w:fldCharType="begin"/>
      </w:r>
      <w:r>
        <w:rPr>
          <w:rFonts w:hint="default"/>
          <w:lang w:val="en-US" w:eastAsia="zh-CN"/>
        </w:rPr>
        <w:instrText xml:space="preserve"> HYPERLINK \l _Toc17260 </w:instrText>
      </w:r>
      <w:r>
        <w:rPr>
          <w:rFonts w:hint="default"/>
          <w:lang w:val="en-US" w:eastAsia="zh-CN"/>
        </w:rPr>
        <w:fldChar w:fldCharType="separate"/>
      </w:r>
      <w:r>
        <w:rPr>
          <w:rFonts w:hint="eastAsia"/>
          <w:lang w:val="en-US" w:eastAsia="zh-CN"/>
        </w:rPr>
        <w:t>一、 设计目的</w:t>
      </w:r>
      <w:r>
        <w:tab/>
      </w:r>
      <w:r>
        <w:fldChar w:fldCharType="begin"/>
      </w:r>
      <w:r>
        <w:instrText xml:space="preserve"> PAGEREF _Toc17260 \h </w:instrText>
      </w:r>
      <w:r>
        <w:fldChar w:fldCharType="separate"/>
      </w:r>
      <w:r>
        <w:t>2</w:t>
      </w:r>
      <w:r>
        <w:fldChar w:fldCharType="end"/>
      </w:r>
      <w:r>
        <w:rPr>
          <w:rFonts w:hint="default"/>
          <w:lang w:val="en-US" w:eastAsia="zh-CN"/>
        </w:rPr>
        <w:fldChar w:fldCharType="end"/>
      </w:r>
    </w:p>
    <w:p w14:paraId="4291F93D">
      <w:pPr>
        <w:pStyle w:val="7"/>
        <w:tabs>
          <w:tab w:val="right" w:leader="dot" w:pos="8306"/>
        </w:tabs>
      </w:pPr>
      <w:r>
        <w:rPr>
          <w:rFonts w:hint="default"/>
          <w:lang w:val="en-US" w:eastAsia="zh-CN"/>
        </w:rPr>
        <w:fldChar w:fldCharType="begin"/>
      </w:r>
      <w:r>
        <w:rPr>
          <w:rFonts w:hint="default"/>
          <w:lang w:val="en-US" w:eastAsia="zh-CN"/>
        </w:rPr>
        <w:instrText xml:space="preserve"> HYPERLINK \l _Toc4233 </w:instrText>
      </w:r>
      <w:r>
        <w:rPr>
          <w:rFonts w:hint="default"/>
          <w:lang w:val="en-US" w:eastAsia="zh-CN"/>
        </w:rPr>
        <w:fldChar w:fldCharType="separate"/>
      </w:r>
      <w:r>
        <w:rPr>
          <w:rFonts w:hint="eastAsia"/>
          <w:lang w:val="en-US" w:eastAsia="zh-CN"/>
        </w:rPr>
        <w:t>二、 系统概述</w:t>
      </w:r>
      <w:r>
        <w:tab/>
      </w:r>
      <w:r>
        <w:fldChar w:fldCharType="begin"/>
      </w:r>
      <w:r>
        <w:instrText xml:space="preserve"> PAGEREF _Toc4233 \h </w:instrText>
      </w:r>
      <w:r>
        <w:fldChar w:fldCharType="separate"/>
      </w:r>
      <w:r>
        <w:t>2</w:t>
      </w:r>
      <w:r>
        <w:fldChar w:fldCharType="end"/>
      </w:r>
      <w:r>
        <w:rPr>
          <w:rFonts w:hint="default"/>
          <w:lang w:val="en-US" w:eastAsia="zh-CN"/>
        </w:rPr>
        <w:fldChar w:fldCharType="end"/>
      </w:r>
    </w:p>
    <w:p w14:paraId="3FC15DF0">
      <w:pPr>
        <w:pStyle w:val="7"/>
        <w:tabs>
          <w:tab w:val="right" w:leader="dot" w:pos="8306"/>
        </w:tabs>
      </w:pPr>
      <w:r>
        <w:rPr>
          <w:rFonts w:hint="default"/>
          <w:lang w:val="en-US" w:eastAsia="zh-CN"/>
        </w:rPr>
        <w:fldChar w:fldCharType="begin"/>
      </w:r>
      <w:r>
        <w:rPr>
          <w:rFonts w:hint="default"/>
          <w:lang w:val="en-US" w:eastAsia="zh-CN"/>
        </w:rPr>
        <w:instrText xml:space="preserve"> HYPERLINK \l _Toc29992 </w:instrText>
      </w:r>
      <w:r>
        <w:rPr>
          <w:rFonts w:hint="default"/>
          <w:lang w:val="en-US" w:eastAsia="zh-CN"/>
        </w:rPr>
        <w:fldChar w:fldCharType="separate"/>
      </w:r>
      <w:r>
        <w:rPr>
          <w:rFonts w:hint="eastAsia"/>
          <w:lang w:val="en-US" w:eastAsia="zh-CN"/>
        </w:rPr>
        <w:t>三、 实现方式</w:t>
      </w:r>
      <w:r>
        <w:tab/>
      </w:r>
      <w:r>
        <w:fldChar w:fldCharType="begin"/>
      </w:r>
      <w:r>
        <w:instrText xml:space="preserve"> PAGEREF _Toc29992 \h </w:instrText>
      </w:r>
      <w:r>
        <w:fldChar w:fldCharType="separate"/>
      </w:r>
      <w:r>
        <w:t>2</w:t>
      </w:r>
      <w:r>
        <w:fldChar w:fldCharType="end"/>
      </w:r>
      <w:r>
        <w:rPr>
          <w:rFonts w:hint="default"/>
          <w:lang w:val="en-US" w:eastAsia="zh-CN"/>
        </w:rPr>
        <w:fldChar w:fldCharType="end"/>
      </w:r>
    </w:p>
    <w:p w14:paraId="1E06A524">
      <w:pPr>
        <w:pStyle w:val="5"/>
        <w:tabs>
          <w:tab w:val="right" w:leader="dot" w:pos="8306"/>
        </w:tabs>
      </w:pPr>
      <w:r>
        <w:rPr>
          <w:rFonts w:hint="default"/>
          <w:lang w:val="en-US" w:eastAsia="zh-CN"/>
        </w:rPr>
        <w:fldChar w:fldCharType="begin"/>
      </w:r>
      <w:r>
        <w:rPr>
          <w:rFonts w:hint="default"/>
          <w:lang w:val="en-US" w:eastAsia="zh-CN"/>
        </w:rPr>
        <w:instrText xml:space="preserve"> HYPERLINK \l _Toc27928 </w:instrText>
      </w:r>
      <w:r>
        <w:rPr>
          <w:rFonts w:hint="default"/>
          <w:lang w:val="en-US" w:eastAsia="zh-CN"/>
        </w:rPr>
        <w:fldChar w:fldCharType="separate"/>
      </w:r>
      <w:r>
        <w:rPr>
          <w:rFonts w:hint="eastAsia"/>
          <w:lang w:val="en-US" w:eastAsia="zh-CN"/>
        </w:rPr>
        <w:t>3.1 功能入口与主界面</w:t>
      </w:r>
      <w:r>
        <w:tab/>
      </w:r>
      <w:r>
        <w:fldChar w:fldCharType="begin"/>
      </w:r>
      <w:r>
        <w:instrText xml:space="preserve"> PAGEREF _Toc27928 \h </w:instrText>
      </w:r>
      <w:r>
        <w:fldChar w:fldCharType="separate"/>
      </w:r>
      <w:r>
        <w:t>2</w:t>
      </w:r>
      <w:r>
        <w:fldChar w:fldCharType="end"/>
      </w:r>
      <w:r>
        <w:rPr>
          <w:rFonts w:hint="default"/>
          <w:lang w:val="en-US" w:eastAsia="zh-CN"/>
        </w:rPr>
        <w:fldChar w:fldCharType="end"/>
      </w:r>
    </w:p>
    <w:p w14:paraId="58E9C6E3">
      <w:pPr>
        <w:pStyle w:val="5"/>
        <w:tabs>
          <w:tab w:val="right" w:leader="dot" w:pos="8306"/>
        </w:tabs>
      </w:pPr>
      <w:r>
        <w:rPr>
          <w:rFonts w:hint="default"/>
          <w:lang w:val="en-US" w:eastAsia="zh-CN"/>
        </w:rPr>
        <w:fldChar w:fldCharType="begin"/>
      </w:r>
      <w:r>
        <w:rPr>
          <w:rFonts w:hint="default"/>
          <w:lang w:val="en-US" w:eastAsia="zh-CN"/>
        </w:rPr>
        <w:instrText xml:space="preserve"> HYPERLINK \l _Toc14036 </w:instrText>
      </w:r>
      <w:r>
        <w:rPr>
          <w:rFonts w:hint="default"/>
          <w:lang w:val="en-US" w:eastAsia="zh-CN"/>
        </w:rPr>
        <w:fldChar w:fldCharType="separate"/>
      </w:r>
      <w:r>
        <w:rPr>
          <w:rFonts w:hint="eastAsia"/>
          <w:lang w:val="en-US" w:eastAsia="zh-CN"/>
        </w:rPr>
        <w:t>3.2 界面状态定义</w:t>
      </w:r>
      <w:r>
        <w:tab/>
      </w:r>
      <w:r>
        <w:fldChar w:fldCharType="begin"/>
      </w:r>
      <w:r>
        <w:instrText xml:space="preserve"> PAGEREF _Toc14036 \h </w:instrText>
      </w:r>
      <w:r>
        <w:fldChar w:fldCharType="separate"/>
      </w:r>
      <w:r>
        <w:t>3</w:t>
      </w:r>
      <w:r>
        <w:fldChar w:fldCharType="end"/>
      </w:r>
      <w:r>
        <w:rPr>
          <w:rFonts w:hint="default"/>
          <w:lang w:val="en-US" w:eastAsia="zh-CN"/>
        </w:rPr>
        <w:fldChar w:fldCharType="end"/>
      </w:r>
    </w:p>
    <w:p w14:paraId="37CF0ABD">
      <w:pPr>
        <w:pStyle w:val="7"/>
        <w:tabs>
          <w:tab w:val="right" w:leader="dot" w:pos="8306"/>
        </w:tabs>
      </w:pPr>
      <w:r>
        <w:rPr>
          <w:rFonts w:hint="default"/>
          <w:lang w:val="en-US" w:eastAsia="zh-CN"/>
        </w:rPr>
        <w:fldChar w:fldCharType="begin"/>
      </w:r>
      <w:r>
        <w:rPr>
          <w:rFonts w:hint="default"/>
          <w:lang w:val="en-US" w:eastAsia="zh-CN"/>
        </w:rPr>
        <w:instrText xml:space="preserve"> HYPERLINK \l _Toc7211 </w:instrText>
      </w:r>
      <w:r>
        <w:rPr>
          <w:rFonts w:hint="default"/>
          <w:lang w:val="en-US" w:eastAsia="zh-CN"/>
        </w:rPr>
        <w:fldChar w:fldCharType="separate"/>
      </w:r>
      <w:r>
        <w:rPr>
          <w:rFonts w:hint="eastAsia"/>
          <w:lang w:val="en-US" w:eastAsia="zh-CN"/>
        </w:rPr>
        <w:t>四、 流程图</w:t>
      </w:r>
      <w:r>
        <w:tab/>
      </w:r>
      <w:r>
        <w:fldChar w:fldCharType="begin"/>
      </w:r>
      <w:r>
        <w:instrText xml:space="preserve"> PAGEREF _Toc7211 \h </w:instrText>
      </w:r>
      <w:r>
        <w:fldChar w:fldCharType="separate"/>
      </w:r>
      <w:r>
        <w:t>6</w:t>
      </w:r>
      <w:r>
        <w:fldChar w:fldCharType="end"/>
      </w:r>
      <w:r>
        <w:rPr>
          <w:rFonts w:hint="default"/>
          <w:lang w:val="en-US" w:eastAsia="zh-CN"/>
        </w:rPr>
        <w:fldChar w:fldCharType="end"/>
      </w:r>
    </w:p>
    <w:p w14:paraId="08CAB286">
      <w:pPr>
        <w:rPr>
          <w:rFonts w:hint="default"/>
          <w:lang w:val="en-US" w:eastAsia="zh-CN"/>
        </w:rPr>
      </w:pPr>
      <w:r>
        <w:rPr>
          <w:rFonts w:hint="default"/>
          <w:lang w:val="en-US" w:eastAsia="zh-CN"/>
        </w:rPr>
        <w:fldChar w:fldCharType="end"/>
      </w:r>
    </w:p>
    <w:p w14:paraId="5AE54EBE">
      <w:pPr>
        <w:rPr>
          <w:rFonts w:hint="default"/>
          <w:lang w:val="en-US" w:eastAsia="zh-CN"/>
        </w:rPr>
      </w:pPr>
    </w:p>
    <w:p w14:paraId="2E37095A">
      <w:pPr>
        <w:rPr>
          <w:rFonts w:hint="default"/>
          <w:lang w:val="en-US" w:eastAsia="zh-CN"/>
        </w:rPr>
      </w:pPr>
    </w:p>
    <w:p w14:paraId="79831484">
      <w:pPr>
        <w:rPr>
          <w:rFonts w:hint="default"/>
          <w:lang w:val="en-US" w:eastAsia="zh-CN"/>
        </w:rPr>
      </w:pPr>
    </w:p>
    <w:p w14:paraId="1A460C1D">
      <w:pPr>
        <w:rPr>
          <w:rFonts w:hint="default"/>
          <w:lang w:val="en-US" w:eastAsia="zh-CN"/>
        </w:rPr>
      </w:pPr>
    </w:p>
    <w:p w14:paraId="50F5CAB3">
      <w:pPr>
        <w:rPr>
          <w:rFonts w:hint="default"/>
          <w:lang w:val="en-US" w:eastAsia="zh-CN"/>
        </w:rPr>
      </w:pPr>
    </w:p>
    <w:p w14:paraId="0A008046">
      <w:pPr>
        <w:rPr>
          <w:rFonts w:hint="default"/>
          <w:lang w:val="en-US" w:eastAsia="zh-CN"/>
        </w:rPr>
      </w:pPr>
    </w:p>
    <w:p w14:paraId="715D61D1">
      <w:pPr>
        <w:rPr>
          <w:rFonts w:hint="default"/>
          <w:lang w:val="en-US" w:eastAsia="zh-CN"/>
        </w:rPr>
      </w:pPr>
    </w:p>
    <w:p w14:paraId="1C5993F3">
      <w:pPr>
        <w:rPr>
          <w:rFonts w:hint="default"/>
          <w:lang w:val="en-US" w:eastAsia="zh-CN"/>
        </w:rPr>
      </w:pPr>
    </w:p>
    <w:p w14:paraId="0A68FAD3">
      <w:pPr>
        <w:rPr>
          <w:rFonts w:hint="default"/>
          <w:lang w:val="en-US" w:eastAsia="zh-CN"/>
        </w:rPr>
      </w:pPr>
    </w:p>
    <w:p w14:paraId="3091BA63">
      <w:pPr>
        <w:rPr>
          <w:rFonts w:hint="default"/>
          <w:lang w:val="en-US" w:eastAsia="zh-CN"/>
        </w:rPr>
      </w:pPr>
    </w:p>
    <w:p w14:paraId="581E3EC3">
      <w:pPr>
        <w:rPr>
          <w:rFonts w:hint="default"/>
          <w:lang w:val="en-US" w:eastAsia="zh-CN"/>
        </w:rPr>
      </w:pPr>
    </w:p>
    <w:p w14:paraId="5A3AB004">
      <w:pPr>
        <w:rPr>
          <w:rFonts w:hint="default"/>
          <w:lang w:val="en-US" w:eastAsia="zh-CN"/>
        </w:rPr>
      </w:pPr>
    </w:p>
    <w:p w14:paraId="08D51FF9">
      <w:pPr>
        <w:rPr>
          <w:rFonts w:hint="default"/>
          <w:lang w:val="en-US" w:eastAsia="zh-CN"/>
        </w:rPr>
      </w:pPr>
    </w:p>
    <w:p w14:paraId="760E1F79">
      <w:pPr>
        <w:rPr>
          <w:rFonts w:hint="default"/>
          <w:lang w:val="en-US" w:eastAsia="zh-CN"/>
        </w:rPr>
      </w:pPr>
    </w:p>
    <w:p w14:paraId="01B24072">
      <w:pPr>
        <w:rPr>
          <w:rFonts w:hint="default"/>
          <w:lang w:val="en-US" w:eastAsia="zh-CN"/>
        </w:rPr>
      </w:pPr>
    </w:p>
    <w:p w14:paraId="0E30B8B5">
      <w:pPr>
        <w:rPr>
          <w:rFonts w:hint="default"/>
          <w:lang w:val="en-US" w:eastAsia="zh-CN"/>
        </w:rPr>
      </w:pPr>
    </w:p>
    <w:p w14:paraId="2DE5211B">
      <w:pPr>
        <w:rPr>
          <w:rFonts w:hint="default"/>
          <w:lang w:val="en-US" w:eastAsia="zh-CN"/>
        </w:rPr>
      </w:pPr>
    </w:p>
    <w:p w14:paraId="2B32D11C">
      <w:pPr>
        <w:rPr>
          <w:rFonts w:hint="default"/>
          <w:lang w:val="en-US" w:eastAsia="zh-CN"/>
        </w:rPr>
      </w:pPr>
    </w:p>
    <w:p w14:paraId="55607449">
      <w:pPr>
        <w:rPr>
          <w:rFonts w:hint="default"/>
          <w:lang w:val="en-US" w:eastAsia="zh-CN"/>
        </w:rPr>
      </w:pPr>
    </w:p>
    <w:p w14:paraId="53132DEF">
      <w:pPr>
        <w:rPr>
          <w:rFonts w:hint="default"/>
          <w:lang w:val="en-US" w:eastAsia="zh-CN"/>
        </w:rPr>
      </w:pPr>
    </w:p>
    <w:p w14:paraId="76BE0398">
      <w:pPr>
        <w:rPr>
          <w:rFonts w:hint="default"/>
          <w:lang w:val="en-US" w:eastAsia="zh-CN"/>
        </w:rPr>
      </w:pPr>
    </w:p>
    <w:p w14:paraId="47CF798D">
      <w:pPr>
        <w:rPr>
          <w:rFonts w:hint="default"/>
          <w:lang w:val="en-US" w:eastAsia="zh-CN"/>
        </w:rPr>
      </w:pPr>
    </w:p>
    <w:p w14:paraId="2DB9E6C6">
      <w:pPr>
        <w:rPr>
          <w:rFonts w:hint="default"/>
          <w:lang w:val="en-US" w:eastAsia="zh-CN"/>
        </w:rPr>
      </w:pPr>
    </w:p>
    <w:p w14:paraId="463A6674">
      <w:pPr>
        <w:rPr>
          <w:rFonts w:hint="default"/>
          <w:lang w:val="en-US" w:eastAsia="zh-CN"/>
        </w:rPr>
      </w:pPr>
    </w:p>
    <w:p w14:paraId="6C93E6DD">
      <w:pPr>
        <w:rPr>
          <w:rFonts w:hint="default"/>
          <w:lang w:val="en-US" w:eastAsia="zh-CN"/>
        </w:rPr>
      </w:pPr>
    </w:p>
    <w:p w14:paraId="0808F401">
      <w:pPr>
        <w:rPr>
          <w:rFonts w:hint="default"/>
          <w:lang w:val="en-US" w:eastAsia="zh-CN"/>
        </w:rPr>
      </w:pPr>
    </w:p>
    <w:p w14:paraId="4B825063">
      <w:pPr>
        <w:rPr>
          <w:rFonts w:hint="default"/>
          <w:lang w:val="en-US" w:eastAsia="zh-CN"/>
        </w:rPr>
      </w:pPr>
    </w:p>
    <w:p w14:paraId="563C9327">
      <w:pPr>
        <w:pStyle w:val="3"/>
        <w:numPr>
          <w:ilvl w:val="0"/>
          <w:numId w:val="1"/>
        </w:numPr>
        <w:bidi w:val="0"/>
        <w:rPr>
          <w:rFonts w:hint="default"/>
          <w:lang w:val="en-US" w:eastAsia="zh-CN"/>
        </w:rPr>
      </w:pPr>
      <w:bookmarkStart w:id="1" w:name="_Toc17260"/>
      <w:bookmarkStart w:id="7" w:name="_GoBack"/>
      <w:bookmarkEnd w:id="7"/>
      <w:r>
        <w:rPr>
          <w:rFonts w:hint="eastAsia"/>
          <w:lang w:val="en-US" w:eastAsia="zh-CN"/>
        </w:rPr>
        <w:t>设计目的</w:t>
      </w:r>
      <w:bookmarkEnd w:id="1"/>
    </w:p>
    <w:p w14:paraId="7FBD4B75">
      <w:pPr>
        <w:numPr>
          <w:ilvl w:val="0"/>
          <w:numId w:val="2"/>
        </w:numPr>
        <w:ind w:left="425" w:leftChars="0" w:hanging="425" w:firstLineChars="0"/>
        <w:rPr>
          <w:rFonts w:hint="default"/>
          <w:lang w:val="en-US" w:eastAsia="zh-CN"/>
        </w:rPr>
      </w:pPr>
      <w:r>
        <w:rPr>
          <w:rFonts w:hint="eastAsia"/>
          <w:lang w:val="en-US" w:eastAsia="zh-CN"/>
        </w:rPr>
        <w:t>通过免费礼包和付费礼包的穿插结合来提升玩家的付费进阶欲望，提升进阶付费。</w:t>
      </w:r>
    </w:p>
    <w:p w14:paraId="31415813">
      <w:pPr>
        <w:pStyle w:val="3"/>
        <w:numPr>
          <w:ilvl w:val="0"/>
          <w:numId w:val="1"/>
        </w:numPr>
        <w:bidi w:val="0"/>
        <w:rPr>
          <w:rFonts w:hint="default"/>
          <w:lang w:val="en-US" w:eastAsia="zh-CN"/>
        </w:rPr>
      </w:pPr>
      <w:bookmarkStart w:id="2" w:name="_Toc4233"/>
      <w:r>
        <w:rPr>
          <w:rFonts w:hint="eastAsia"/>
          <w:lang w:val="en-US" w:eastAsia="zh-CN"/>
        </w:rPr>
        <w:t>系统概述</w:t>
      </w:r>
      <w:bookmarkEnd w:id="2"/>
    </w:p>
    <w:p w14:paraId="0B8B8436">
      <w:pPr>
        <w:numPr>
          <w:ilvl w:val="0"/>
          <w:numId w:val="3"/>
        </w:numPr>
        <w:ind w:left="425" w:leftChars="0" w:hanging="425" w:firstLineChars="0"/>
        <w:rPr>
          <w:rFonts w:hint="default"/>
          <w:lang w:val="en-US" w:eastAsia="zh-CN"/>
        </w:rPr>
      </w:pPr>
      <w:r>
        <w:rPr>
          <w:rFonts w:hint="eastAsia"/>
          <w:lang w:val="en-US" w:eastAsia="zh-CN"/>
        </w:rPr>
        <w:t>进阶礼包功能位于主界面上方。</w:t>
      </w:r>
    </w:p>
    <w:p w14:paraId="1A821615">
      <w:pPr>
        <w:numPr>
          <w:ilvl w:val="0"/>
          <w:numId w:val="3"/>
        </w:numPr>
        <w:ind w:left="425" w:leftChars="0" w:hanging="425" w:firstLineChars="0"/>
        <w:rPr>
          <w:rFonts w:hint="default"/>
          <w:lang w:val="en-US" w:eastAsia="zh-CN"/>
        </w:rPr>
      </w:pPr>
      <w:r>
        <w:rPr>
          <w:rFonts w:hint="eastAsia"/>
          <w:lang w:val="en-US" w:eastAsia="zh-CN"/>
        </w:rPr>
        <w:t>进阶礼包功能为限时活动，开服之后持续10天，后续可以通过后台便捷开启。</w:t>
      </w:r>
    </w:p>
    <w:p w14:paraId="22AFF499">
      <w:pPr>
        <w:numPr>
          <w:ilvl w:val="0"/>
          <w:numId w:val="3"/>
        </w:numPr>
        <w:ind w:left="425" w:leftChars="0" w:hanging="425" w:firstLineChars="0"/>
        <w:rPr>
          <w:rFonts w:hint="default"/>
          <w:lang w:val="en-US" w:eastAsia="zh-CN"/>
        </w:rPr>
      </w:pPr>
      <w:r>
        <w:rPr>
          <w:rFonts w:hint="eastAsia"/>
          <w:lang w:val="en-US" w:eastAsia="zh-CN"/>
        </w:rPr>
        <w:t>进阶礼包功能的核心逻辑在于：玩家只能按照礼包的顺序依次进行领取，有些礼包只需要玩家达成等级或者战力条件就能直接领取，但有些礼包则需要玩家付费购买才能领取。</w:t>
      </w:r>
    </w:p>
    <w:p w14:paraId="746864D5">
      <w:pPr>
        <w:numPr>
          <w:ilvl w:val="0"/>
          <w:numId w:val="3"/>
        </w:numPr>
        <w:ind w:left="425" w:leftChars="0" w:hanging="425" w:firstLineChars="0"/>
        <w:rPr>
          <w:rFonts w:hint="default"/>
          <w:lang w:val="en-US" w:eastAsia="zh-CN"/>
        </w:rPr>
      </w:pPr>
      <w:r>
        <w:rPr>
          <w:rFonts w:hint="eastAsia"/>
          <w:lang w:val="en-US" w:eastAsia="zh-CN"/>
        </w:rPr>
        <w:t>需要注意的是玩家不能跳过路线上的某一档礼包而直接去领取后续的礼包。</w:t>
      </w:r>
    </w:p>
    <w:p w14:paraId="739469D9">
      <w:pPr>
        <w:pStyle w:val="3"/>
        <w:numPr>
          <w:ilvl w:val="0"/>
          <w:numId w:val="1"/>
        </w:numPr>
        <w:bidi w:val="0"/>
        <w:rPr>
          <w:rFonts w:hint="default"/>
          <w:lang w:val="en-US" w:eastAsia="zh-CN"/>
        </w:rPr>
      </w:pPr>
      <w:bookmarkStart w:id="3" w:name="_Toc29992"/>
      <w:r>
        <w:rPr>
          <w:rFonts w:hint="eastAsia"/>
          <w:lang w:val="en-US" w:eastAsia="zh-CN"/>
        </w:rPr>
        <w:t>实现方式</w:t>
      </w:r>
      <w:bookmarkEnd w:id="3"/>
    </w:p>
    <w:p w14:paraId="5A7939B8">
      <w:pPr>
        <w:pStyle w:val="4"/>
        <w:bidi w:val="0"/>
        <w:rPr>
          <w:rFonts w:hint="eastAsia"/>
          <w:lang w:val="en-US" w:eastAsia="zh-CN"/>
        </w:rPr>
      </w:pPr>
      <w:bookmarkStart w:id="4" w:name="_Toc27928"/>
      <w:r>
        <w:rPr>
          <w:rFonts w:hint="eastAsia"/>
          <w:lang w:val="en-US" w:eastAsia="zh-CN"/>
        </w:rPr>
        <w:t>3.1 功能入口与主界面</w:t>
      </w:r>
      <w:bookmarkEnd w:id="4"/>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701F3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3F0690DF">
            <w:pPr>
              <w:rPr>
                <w:rFonts w:hint="default"/>
                <w:vertAlign w:val="baseline"/>
                <w:lang w:val="en-US" w:eastAsia="zh-CN"/>
              </w:rPr>
            </w:pPr>
            <w:r>
              <w:drawing>
                <wp:inline distT="0" distB="0" distL="114300" distR="114300">
                  <wp:extent cx="5273040" cy="2654300"/>
                  <wp:effectExtent l="0" t="0" r="38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654300"/>
                          </a:xfrm>
                          <a:prstGeom prst="rect">
                            <a:avLst/>
                          </a:prstGeom>
                          <a:noFill/>
                          <a:ln>
                            <a:noFill/>
                          </a:ln>
                        </pic:spPr>
                      </pic:pic>
                    </a:graphicData>
                  </a:graphic>
                </wp:inline>
              </w:drawing>
            </w:r>
          </w:p>
        </w:tc>
      </w:tr>
      <w:tr w14:paraId="4C6F1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312EF28C">
            <w:pPr>
              <w:rPr>
                <w:rFonts w:hint="default"/>
                <w:vertAlign w:val="baseline"/>
                <w:lang w:val="en-US" w:eastAsia="zh-CN"/>
              </w:rPr>
            </w:pPr>
            <w:r>
              <w:rPr>
                <w:rFonts w:hint="eastAsia"/>
                <w:vertAlign w:val="baseline"/>
                <w:lang w:val="en-US" w:eastAsia="zh-CN"/>
              </w:rPr>
              <w:t>如上图所示，点击“进阶礼包”功能按钮之后可以打开功能界面如下图所示：</w:t>
            </w:r>
          </w:p>
        </w:tc>
      </w:tr>
      <w:tr w14:paraId="69ECC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2620C5C8">
            <w:pPr>
              <w:rPr>
                <w:rFonts w:hint="default"/>
                <w:vertAlign w:val="baseline"/>
                <w:lang w:val="en-US" w:eastAsia="zh-CN"/>
              </w:rPr>
            </w:pPr>
            <w:r>
              <w:drawing>
                <wp:inline distT="0" distB="0" distL="114300" distR="114300">
                  <wp:extent cx="5273040" cy="2654300"/>
                  <wp:effectExtent l="0" t="0" r="381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2654300"/>
                          </a:xfrm>
                          <a:prstGeom prst="rect">
                            <a:avLst/>
                          </a:prstGeom>
                          <a:noFill/>
                          <a:ln>
                            <a:noFill/>
                          </a:ln>
                        </pic:spPr>
                      </pic:pic>
                    </a:graphicData>
                  </a:graphic>
                </wp:inline>
              </w:drawing>
            </w:r>
          </w:p>
        </w:tc>
      </w:tr>
      <w:tr w14:paraId="2030A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4B07B5F7">
            <w:pPr>
              <w:rPr>
                <w:rFonts w:hint="eastAsia"/>
                <w:lang w:val="en-US" w:eastAsia="zh-CN"/>
              </w:rPr>
            </w:pPr>
            <w:r>
              <w:rPr>
                <w:rFonts w:hint="eastAsia"/>
                <w:lang w:val="en-US" w:eastAsia="zh-CN"/>
              </w:rPr>
              <w:t>如上图所示，为进阶礼包功能界面的内容，定义如下：</w:t>
            </w:r>
          </w:p>
          <w:p w14:paraId="1DA69425">
            <w:pPr>
              <w:numPr>
                <w:ilvl w:val="0"/>
                <w:numId w:val="4"/>
              </w:numPr>
              <w:ind w:left="425" w:leftChars="0" w:hanging="425" w:firstLineChars="0"/>
              <w:rPr>
                <w:rFonts w:hint="default"/>
                <w:lang w:val="en-US" w:eastAsia="zh-CN"/>
              </w:rPr>
            </w:pPr>
            <w:r>
              <w:rPr>
                <w:rFonts w:hint="eastAsia"/>
                <w:lang w:val="en-US" w:eastAsia="zh-CN"/>
              </w:rPr>
              <w:t>界面标题：进阶礼包。</w:t>
            </w:r>
          </w:p>
          <w:p w14:paraId="7221A6E0">
            <w:pPr>
              <w:numPr>
                <w:ilvl w:val="0"/>
                <w:numId w:val="4"/>
              </w:numPr>
              <w:ind w:left="425" w:leftChars="0" w:hanging="425" w:firstLineChars="0"/>
              <w:rPr>
                <w:rFonts w:hint="default"/>
                <w:lang w:val="en-US" w:eastAsia="zh-CN"/>
              </w:rPr>
            </w:pPr>
            <w:r>
              <w:rPr>
                <w:rFonts w:hint="eastAsia"/>
                <w:lang w:val="en-US" w:eastAsia="zh-CN"/>
              </w:rPr>
              <w:t>活动剩余时间：显示在标题栏的右侧即可，支持后台的时间配置。默认是开服之后10天。每开一次为一轮。</w:t>
            </w:r>
          </w:p>
          <w:p w14:paraId="1AB083FE">
            <w:pPr>
              <w:numPr>
                <w:ilvl w:val="0"/>
                <w:numId w:val="4"/>
              </w:numPr>
              <w:ind w:left="425" w:leftChars="0" w:hanging="425" w:firstLineChars="0"/>
              <w:rPr>
                <w:rFonts w:hint="default"/>
                <w:lang w:val="en-US" w:eastAsia="zh-CN"/>
              </w:rPr>
            </w:pPr>
            <w:r>
              <w:rPr>
                <w:rFonts w:hint="eastAsia"/>
                <w:lang w:val="en-US" w:eastAsia="zh-CN"/>
              </w:rPr>
              <w:t>礼包详情：按照默认的配置顺序，从左到右的方式依次进行领取，界面支持上下拖动。每一档礼包的内容和领取限制从配置读取。</w:t>
            </w:r>
          </w:p>
        </w:tc>
      </w:tr>
    </w:tbl>
    <w:p w14:paraId="157FC3B3">
      <w:pPr>
        <w:pStyle w:val="4"/>
        <w:bidi w:val="0"/>
        <w:rPr>
          <w:rFonts w:hint="default"/>
          <w:lang w:val="en-US" w:eastAsia="zh-CN"/>
        </w:rPr>
      </w:pPr>
      <w:bookmarkStart w:id="5" w:name="_Toc14036"/>
      <w:r>
        <w:rPr>
          <w:rFonts w:hint="eastAsia"/>
          <w:lang w:val="en-US" w:eastAsia="zh-CN"/>
        </w:rPr>
        <w:t>3.2 界面状态定义</w:t>
      </w:r>
      <w:bookmarkEnd w:id="5"/>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049693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0130D489">
            <w:pPr>
              <w:rPr>
                <w:rFonts w:hint="default"/>
                <w:vertAlign w:val="baseline"/>
                <w:lang w:val="en-US" w:eastAsia="zh-CN"/>
              </w:rPr>
            </w:pPr>
            <w:r>
              <w:drawing>
                <wp:inline distT="0" distB="0" distL="114300" distR="114300">
                  <wp:extent cx="5273040" cy="2654300"/>
                  <wp:effectExtent l="0" t="0" r="381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2654300"/>
                          </a:xfrm>
                          <a:prstGeom prst="rect">
                            <a:avLst/>
                          </a:prstGeom>
                          <a:noFill/>
                          <a:ln>
                            <a:noFill/>
                          </a:ln>
                        </pic:spPr>
                      </pic:pic>
                    </a:graphicData>
                  </a:graphic>
                </wp:inline>
              </w:drawing>
            </w:r>
          </w:p>
        </w:tc>
      </w:tr>
      <w:tr w14:paraId="4AC98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2D178F10">
            <w:pPr>
              <w:rPr>
                <w:rFonts w:hint="eastAsia"/>
                <w:vertAlign w:val="baseline"/>
                <w:lang w:val="en-US" w:eastAsia="zh-CN"/>
              </w:rPr>
            </w:pPr>
            <w:r>
              <w:rPr>
                <w:rFonts w:hint="eastAsia"/>
                <w:vertAlign w:val="baseline"/>
                <w:lang w:val="en-US" w:eastAsia="zh-CN"/>
              </w:rPr>
              <w:t>如上图所示：为非直购类礼包的未达成状态界面显示：</w:t>
            </w:r>
          </w:p>
          <w:p w14:paraId="3AD96A13">
            <w:pPr>
              <w:numPr>
                <w:ilvl w:val="0"/>
                <w:numId w:val="5"/>
              </w:numPr>
              <w:ind w:left="425" w:leftChars="0" w:hanging="425" w:firstLineChars="0"/>
              <w:rPr>
                <w:rFonts w:hint="default"/>
                <w:vertAlign w:val="baseline"/>
                <w:lang w:val="en-US" w:eastAsia="zh-CN"/>
              </w:rPr>
            </w:pPr>
            <w:r>
              <w:rPr>
                <w:rFonts w:hint="eastAsia"/>
                <w:vertAlign w:val="baseline"/>
                <w:lang w:val="en-US" w:eastAsia="zh-CN"/>
              </w:rPr>
              <w:t>每一档礼包最多配置4种道具。</w:t>
            </w:r>
          </w:p>
          <w:p w14:paraId="7EC32656">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礼包根据领取条件分为：非直购类{礼包上方条件为：角色达到XX级或者战力达到XX}；直购类{礼包上方显示：折扣礼包}。</w:t>
            </w:r>
          </w:p>
          <w:p w14:paraId="2687CECB">
            <w:pPr>
              <w:numPr>
                <w:ilvl w:val="0"/>
                <w:numId w:val="5"/>
              </w:numPr>
              <w:ind w:left="425" w:leftChars="0" w:hanging="425" w:firstLineChars="0"/>
              <w:rPr>
                <w:rFonts w:hint="default"/>
                <w:vertAlign w:val="baseline"/>
                <w:lang w:val="en-US" w:eastAsia="zh-CN"/>
              </w:rPr>
            </w:pPr>
            <w:r>
              <w:rPr>
                <w:rFonts w:hint="eastAsia"/>
                <w:vertAlign w:val="baseline"/>
                <w:lang w:val="en-US" w:eastAsia="zh-CN"/>
              </w:rPr>
              <w:t>非直购类礼包分为{未达成、可领取、已领取}三种状态，详见下图定义；直购类礼包分为{X元购买、已领取}两种状态，详见下图定义。</w:t>
            </w:r>
          </w:p>
        </w:tc>
      </w:tr>
      <w:tr w14:paraId="3F1BF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6BCA9D12">
            <w:pPr>
              <w:rPr>
                <w:rFonts w:hint="default"/>
                <w:vertAlign w:val="baseline"/>
                <w:lang w:val="en-US" w:eastAsia="zh-CN"/>
              </w:rPr>
            </w:pPr>
            <w:r>
              <w:drawing>
                <wp:inline distT="0" distB="0" distL="114300" distR="114300">
                  <wp:extent cx="5273040" cy="2654300"/>
                  <wp:effectExtent l="0" t="0" r="381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3040" cy="2654300"/>
                          </a:xfrm>
                          <a:prstGeom prst="rect">
                            <a:avLst/>
                          </a:prstGeom>
                          <a:noFill/>
                          <a:ln>
                            <a:noFill/>
                          </a:ln>
                        </pic:spPr>
                      </pic:pic>
                    </a:graphicData>
                  </a:graphic>
                </wp:inline>
              </w:drawing>
            </w:r>
          </w:p>
        </w:tc>
      </w:tr>
      <w:tr w14:paraId="031CB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18DF2828">
            <w:pPr>
              <w:rPr>
                <w:rFonts w:hint="default"/>
                <w:vertAlign w:val="baseline"/>
                <w:lang w:val="en-US" w:eastAsia="zh-CN"/>
              </w:rPr>
            </w:pPr>
            <w:r>
              <w:rPr>
                <w:rFonts w:hint="eastAsia"/>
                <w:vertAlign w:val="baseline"/>
                <w:lang w:val="en-US" w:eastAsia="zh-CN"/>
              </w:rPr>
              <w:t>上图所示为非直购类礼包的可领取状态。</w:t>
            </w:r>
          </w:p>
        </w:tc>
      </w:tr>
      <w:tr w14:paraId="37DED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6D78A8CA">
            <w:pPr>
              <w:rPr>
                <w:rFonts w:hint="default"/>
                <w:vertAlign w:val="baseline"/>
                <w:lang w:val="en-US" w:eastAsia="zh-CN"/>
              </w:rPr>
            </w:pPr>
            <w:r>
              <w:drawing>
                <wp:inline distT="0" distB="0" distL="114300" distR="114300">
                  <wp:extent cx="5273040" cy="26543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040" cy="2654300"/>
                          </a:xfrm>
                          <a:prstGeom prst="rect">
                            <a:avLst/>
                          </a:prstGeom>
                          <a:noFill/>
                          <a:ln>
                            <a:noFill/>
                          </a:ln>
                        </pic:spPr>
                      </pic:pic>
                    </a:graphicData>
                  </a:graphic>
                </wp:inline>
              </w:drawing>
            </w:r>
          </w:p>
        </w:tc>
      </w:tr>
      <w:tr w14:paraId="74E57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0C33488A">
            <w:pPr>
              <w:rPr>
                <w:rFonts w:hint="default"/>
                <w:vertAlign w:val="baseline"/>
                <w:lang w:val="en-US" w:eastAsia="zh-CN"/>
              </w:rPr>
            </w:pPr>
            <w:r>
              <w:rPr>
                <w:rFonts w:hint="eastAsia"/>
                <w:vertAlign w:val="baseline"/>
                <w:lang w:val="en-US" w:eastAsia="zh-CN"/>
              </w:rPr>
              <w:t>上图所示为非直购类礼包的已领取状态。</w:t>
            </w:r>
          </w:p>
        </w:tc>
      </w:tr>
      <w:tr w14:paraId="46BE8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511460FF">
            <w:pPr>
              <w:rPr>
                <w:rFonts w:hint="eastAsia"/>
                <w:vertAlign w:val="baseline"/>
                <w:lang w:val="en-US" w:eastAsia="zh-CN"/>
              </w:rPr>
            </w:pPr>
            <w:r>
              <w:drawing>
                <wp:inline distT="0" distB="0" distL="114300" distR="114300">
                  <wp:extent cx="5273040" cy="2654300"/>
                  <wp:effectExtent l="0" t="0" r="381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040" cy="2654300"/>
                          </a:xfrm>
                          <a:prstGeom prst="rect">
                            <a:avLst/>
                          </a:prstGeom>
                          <a:noFill/>
                          <a:ln>
                            <a:noFill/>
                          </a:ln>
                        </pic:spPr>
                      </pic:pic>
                    </a:graphicData>
                  </a:graphic>
                </wp:inline>
              </w:drawing>
            </w:r>
          </w:p>
        </w:tc>
      </w:tr>
      <w:tr w14:paraId="200A22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6FE006FB">
            <w:pPr>
              <w:rPr>
                <w:rFonts w:hint="default" w:eastAsiaTheme="minorEastAsia"/>
                <w:lang w:val="en-US" w:eastAsia="zh-CN"/>
              </w:rPr>
            </w:pPr>
            <w:r>
              <w:rPr>
                <w:rFonts w:hint="eastAsia"/>
                <w:lang w:val="en-US" w:eastAsia="zh-CN"/>
              </w:rPr>
              <w:t>上图显示的为直购类礼包的可购买状态</w:t>
            </w:r>
          </w:p>
        </w:tc>
      </w:tr>
      <w:tr w14:paraId="572B0A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18B43CE0">
            <w:pPr>
              <w:rPr>
                <w:rFonts w:hint="eastAsia"/>
                <w:lang w:val="en-US" w:eastAsia="zh-CN"/>
              </w:rPr>
            </w:pPr>
            <w:r>
              <w:drawing>
                <wp:inline distT="0" distB="0" distL="114300" distR="114300">
                  <wp:extent cx="5273040" cy="2654300"/>
                  <wp:effectExtent l="0" t="0" r="381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3040" cy="2654300"/>
                          </a:xfrm>
                          <a:prstGeom prst="rect">
                            <a:avLst/>
                          </a:prstGeom>
                          <a:noFill/>
                          <a:ln>
                            <a:noFill/>
                          </a:ln>
                        </pic:spPr>
                      </pic:pic>
                    </a:graphicData>
                  </a:graphic>
                </wp:inline>
              </w:drawing>
            </w:r>
          </w:p>
        </w:tc>
      </w:tr>
      <w:tr w14:paraId="7DEF0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3CF3B7C3">
            <w:pPr>
              <w:rPr>
                <w:rFonts w:hint="default" w:eastAsiaTheme="minorEastAsia"/>
                <w:lang w:val="en-US" w:eastAsia="zh-CN"/>
              </w:rPr>
            </w:pPr>
            <w:r>
              <w:rPr>
                <w:rFonts w:hint="eastAsia"/>
                <w:lang w:val="en-US" w:eastAsia="zh-CN"/>
              </w:rPr>
              <w:t>上图为直购类礼包的已领取状态。</w:t>
            </w:r>
          </w:p>
        </w:tc>
      </w:tr>
    </w:tbl>
    <w:p w14:paraId="15C70E87">
      <w:pPr>
        <w:pStyle w:val="3"/>
        <w:numPr>
          <w:ilvl w:val="0"/>
          <w:numId w:val="1"/>
        </w:numPr>
        <w:bidi w:val="0"/>
        <w:rPr>
          <w:rFonts w:hint="default"/>
          <w:lang w:val="en-US" w:eastAsia="zh-CN"/>
        </w:rPr>
      </w:pPr>
      <w:bookmarkStart w:id="6" w:name="_Toc7211"/>
      <w:r>
        <w:rPr>
          <w:rFonts w:hint="eastAsia"/>
          <w:lang w:val="en-US" w:eastAsia="zh-CN"/>
        </w:rPr>
        <w:t>流程图</w:t>
      </w:r>
      <w:bookmarkEnd w:id="6"/>
    </w:p>
    <w:p w14:paraId="79382991">
      <w:pPr>
        <w:jc w:val="center"/>
        <w:rPr>
          <w:rFonts w:hint="default"/>
          <w:lang w:val="en-US" w:eastAsia="zh-CN"/>
        </w:rPr>
      </w:pPr>
      <w:r>
        <w:drawing>
          <wp:inline distT="0" distB="0" distL="114300" distR="114300">
            <wp:extent cx="1666240" cy="4492625"/>
            <wp:effectExtent l="0" t="0" r="1016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666240" cy="44926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46313E"/>
    <w:multiLevelType w:val="singleLevel"/>
    <w:tmpl w:val="E846313E"/>
    <w:lvl w:ilvl="0" w:tentative="0">
      <w:start w:val="1"/>
      <w:numFmt w:val="decimal"/>
      <w:lvlText w:val="%1."/>
      <w:lvlJc w:val="left"/>
      <w:pPr>
        <w:ind w:left="425" w:hanging="425"/>
      </w:pPr>
      <w:rPr>
        <w:rFonts w:hint="default"/>
      </w:rPr>
    </w:lvl>
  </w:abstractNum>
  <w:abstractNum w:abstractNumId="1">
    <w:nsid w:val="E84F748B"/>
    <w:multiLevelType w:val="singleLevel"/>
    <w:tmpl w:val="E84F748B"/>
    <w:lvl w:ilvl="0" w:tentative="0">
      <w:start w:val="1"/>
      <w:numFmt w:val="decimal"/>
      <w:lvlText w:val="%1."/>
      <w:lvlJc w:val="left"/>
      <w:pPr>
        <w:ind w:left="425" w:hanging="425"/>
      </w:pPr>
      <w:rPr>
        <w:rFonts w:hint="default"/>
      </w:rPr>
    </w:lvl>
  </w:abstractNum>
  <w:abstractNum w:abstractNumId="2">
    <w:nsid w:val="4CFD9CA4"/>
    <w:multiLevelType w:val="singleLevel"/>
    <w:tmpl w:val="4CFD9CA4"/>
    <w:lvl w:ilvl="0" w:tentative="0">
      <w:start w:val="1"/>
      <w:numFmt w:val="decimal"/>
      <w:lvlText w:val="%1."/>
      <w:lvlJc w:val="left"/>
      <w:pPr>
        <w:ind w:left="425" w:hanging="425"/>
      </w:pPr>
      <w:rPr>
        <w:rFonts w:hint="default"/>
      </w:rPr>
    </w:lvl>
  </w:abstractNum>
  <w:abstractNum w:abstractNumId="3">
    <w:nsid w:val="502DDDCF"/>
    <w:multiLevelType w:val="singleLevel"/>
    <w:tmpl w:val="502DDDCF"/>
    <w:lvl w:ilvl="0" w:tentative="0">
      <w:start w:val="1"/>
      <w:numFmt w:val="decimal"/>
      <w:lvlText w:val="%1."/>
      <w:lvlJc w:val="left"/>
      <w:pPr>
        <w:ind w:left="425" w:hanging="425"/>
      </w:pPr>
      <w:rPr>
        <w:rFonts w:hint="default"/>
      </w:rPr>
    </w:lvl>
  </w:abstractNum>
  <w:abstractNum w:abstractNumId="4">
    <w:nsid w:val="5F223551"/>
    <w:multiLevelType w:val="singleLevel"/>
    <w:tmpl w:val="5F223551"/>
    <w:lvl w:ilvl="0" w:tentative="0">
      <w:start w:val="1"/>
      <w:numFmt w:val="chineseCounting"/>
      <w:suff w:val="nothing"/>
      <w:lvlText w:val="%1、"/>
      <w:lvlJc w:val="left"/>
      <w:pPr>
        <w:ind w:left="0" w:firstLine="420"/>
      </w:pPr>
      <w:rPr>
        <w:rFonts w:hint="eastAsia"/>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030316"/>
    <w:rsid w:val="0C380930"/>
    <w:rsid w:val="1C555257"/>
    <w:rsid w:val="2678301A"/>
    <w:rsid w:val="2ED807B6"/>
    <w:rsid w:val="37C13E91"/>
    <w:rsid w:val="60957B5F"/>
    <w:rsid w:val="79202AC9"/>
    <w:rsid w:val="7D5525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uiPriority w:val="0"/>
  </w:style>
  <w:style w:type="paragraph" w:styleId="7">
    <w:name w:val="toc 2"/>
    <w:basedOn w:val="1"/>
    <w:next w:val="1"/>
    <w:uiPriority w:val="0"/>
    <w:pPr>
      <w:ind w:left="420" w:leftChars="200"/>
    </w:p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0</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2024-12-30T06:54:57Z</dcterms:created>
  <dc:creator>Administrator</dc:creator>
  <cp:lastModifiedBy>企业用户_255442825</cp:lastModifiedBy>
  <dcterms:modified xsi:type="dcterms:W3CDTF">2024-12-30T07:13:04Z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eyJoZGlkIjoiODVjNDc4ODYzMDRhNzczNDcxYThjMzcwYzI4YjI2N2UiLCJ1c2VySWQiOiIxNTI3OTQyMzU2In0=</vt:lpwstr>
  </property>
  <property fmtid="{D5CDD505-2E9C-101B-9397-08002B2CF9AE}" pid="4" name="ICV">
    <vt:lpwstr>A9EEF696BEBF405A9F94C83D29383D8E_12</vt:lpwstr>
  </property>
</Properties>
</file>