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Подтвердить уровень курса.</w:t>
      </w:r>
      <w:r>
        <w:rPr>
          <w:i w:val="0"/>
          <w:color w:val="1F2937"/>
          <w:sz w:val="21"/>
        </w:rPr>
        <w:t xml:space="preserve"> Cambridge ставит Super Minds 3 на A1 (A2 у них только с пятого уровня), а наш материал — past simple, сравнительная и превосходная степень, be going to — тянет на A1+ в начале и A2 к юнитам 6–9. От ответа зависит, что считать «материалом вперёд программы».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у домашек нет ни в одном курсе; у тестов 90.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впереди</w:t>
      </w:r>
    </w:p>
    <w:p>
      <w:pPr>
        <w:spacing w:after="120"/>
      </w:pPr>
      <w:r>
        <w:rPr>
          <w:i w:val="0"/>
          <w:color w:val="1F2937"/>
          <w:sz w:val="21"/>
        </w:rPr>
        <w:t>Что уже нашли и ждёт решения: чужая домашка на месте ДЗ 1 юнита 0, задание на перевод в ДЗ 2 юнита 0, 128 картинок из 150 мельче 300 px, 37 ссылок на звук ведут на плейсхолдер и у ученика не играют.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19.10.2026.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