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6"/>
        </w:rPr>
        <w:t>Что нужно от вас — SM3, юнит 0</w:t>
      </w:r>
    </w:p>
    <w:p>
      <w:pPr>
        <w:spacing w:after="240"/>
      </w:pPr>
      <w:r>
        <w:rPr>
          <w:b w:val="0"/>
          <w:i/>
          <w:sz w:val="20"/>
        </w:rPr>
        <w:t>Файлы: пять планов уроков (Word), четыре домашки и тест (SQL). Презентаций в SM3 нет. В базу ничего не залито — ждём переезда на WowSpeak Team.</w:t>
      </w:r>
    </w:p>
    <w:p>
      <w:pPr>
        <w:spacing w:after="80"/>
      </w:pPr>
      <w:r>
        <w:rPr>
          <w:b/>
          <w:i w:val="0"/>
          <w:sz w:val="26"/>
        </w:rPr>
        <w:t>Сделать руками</w:t>
      </w:r>
    </w:p>
    <w:tbl>
      <w:tblPr>
        <w:tblStyle w:val="TableGrid"/>
        <w:tblW w:type="auto" w:w="0"/>
        <w:tblLook w:firstColumn="1" w:firstRow="1" w:lastColumn="0" w:lastRow="0" w:noHBand="0" w:noVBand="1" w:val="04A0"/>
      </w:tblPr>
      <w:tblGrid>
        <w:gridCol w:w="2550"/>
        <w:gridCol w:w="2550"/>
        <w:gridCol w:w="2550"/>
        <w:gridCol w:w="2550"/>
      </w:tblGrid>
      <w:tr>
        <w:tc>
          <w:tcPr>
            <w:tcW w:type="dxa" w:w="567"/>
          </w:tcPr>
          <w:p>
            <w:r/>
            <w:r>
              <w:rPr>
                <w:b/>
                <w:sz w:val="20"/>
              </w:rPr>
              <w:t>№</w:t>
            </w:r>
          </w:p>
        </w:tc>
        <w:tc>
          <w:tcPr>
            <w:tcW w:type="dxa" w:w="3175"/>
          </w:tcPr>
          <w:p>
            <w:r/>
            <w:r>
              <w:rPr>
                <w:b/>
                <w:sz w:val="20"/>
              </w:rPr>
              <w:t>Что</w:t>
            </w:r>
          </w:p>
        </w:tc>
        <w:tc>
          <w:tcPr>
            <w:tcW w:type="dxa" w:w="3175"/>
          </w:tcPr>
          <w:p>
            <w:r/>
            <w:r>
              <w:rPr>
                <w:b/>
                <w:sz w:val="20"/>
              </w:rPr>
              <w:t>Где</w:t>
            </w:r>
          </w:p>
        </w:tc>
        <w:tc>
          <w:tcPr>
            <w:tcW w:type="dxa" w:w="2721"/>
          </w:tcPr>
          <w:p>
            <w:r/>
            <w:r>
              <w:rPr>
                <w:b/>
                <w:sz w:val="20"/>
              </w:rPr>
              <w:t>Без этого</w:t>
            </w:r>
          </w:p>
        </w:tc>
      </w:tr>
      <w:tr>
        <w:tc>
          <w:tcPr>
            <w:tcW w:type="dxa" w:w="567"/>
          </w:tcPr>
          <w:p>
            <w:pPr>
              <w:spacing w:after="20"/>
            </w:pPr>
            <w:r/>
            <w:r>
              <w:rPr>
                <w:sz w:val="20"/>
              </w:rPr>
              <w:t>1</w:t>
            </w:r>
          </w:p>
        </w:tc>
        <w:tc>
          <w:tcPr>
            <w:tcW w:type="dxa" w:w="3175"/>
          </w:tcPr>
          <w:p>
            <w:pPr>
              <w:spacing w:after="20"/>
            </w:pPr>
            <w:r/>
            <w:r>
              <w:rPr>
                <w:sz w:val="20"/>
              </w:rPr>
              <w:t>Нажать «Озвучить пачкой»</w:t>
            </w:r>
          </w:p>
        </w:tc>
        <w:tc>
          <w:tcPr>
            <w:tcW w:type="dxa" w:w="3175"/>
          </w:tcPr>
          <w:p>
            <w:pPr>
              <w:spacing w:after="20"/>
            </w:pPr>
            <w:r/>
            <w:r>
              <w:rPr>
                <w:sz w:val="20"/>
              </w:rPr>
              <w:t>ДЗ 1–4 и тест: числа, предложения для «составь предложение», диктант — всё помечено audio_tts. Блок аудирования кнопка не тронет: там audio_tts нет специально</w:t>
            </w:r>
          </w:p>
        </w:tc>
        <w:tc>
          <w:tcPr>
            <w:tcW w:type="dxa" w:w="2721"/>
          </w:tcPr>
          <w:p>
            <w:pPr>
              <w:spacing w:after="20"/>
            </w:pPr>
            <w:r/>
            <w:r>
              <w:rPr>
                <w:sz w:val="20"/>
              </w:rPr>
              <w:t>Задания на слух не работают</w:t>
            </w:r>
          </w:p>
        </w:tc>
      </w:tr>
      <w:tr>
        <w:tc>
          <w:tcPr>
            <w:tcW w:type="dxa" w:w="567"/>
          </w:tcPr>
          <w:p>
            <w:pPr>
              <w:spacing w:after="20"/>
            </w:pPr>
            <w:r/>
            <w:r>
              <w:rPr>
                <w:sz w:val="20"/>
              </w:rPr>
              <w:t>2</w:t>
            </w:r>
          </w:p>
        </w:tc>
        <w:tc>
          <w:tcPr>
            <w:tcW w:type="dxa" w:w="3175"/>
          </w:tcPr>
          <w:p>
            <w:pPr>
              <w:spacing w:after="20"/>
            </w:pPr>
            <w:r/>
            <w:r>
              <w:rPr>
                <w:sz w:val="20"/>
              </w:rPr>
              <w:t>Записать аудирование своим голосом</w:t>
            </w:r>
          </w:p>
        </w:tc>
        <w:tc>
          <w:tcPr>
            <w:tcW w:type="dxa" w:w="3175"/>
          </w:tcPr>
          <w:p>
            <w:pPr>
              <w:spacing w:after="20"/>
            </w:pPr>
            <w:r/>
            <w:r>
              <w:rPr>
                <w:sz w:val="20"/>
              </w:rPr>
              <w:t>Тест, блок 16 (LISTENING). Текст для записи — ниже в этом файле. Файл назвать sm3_u0_test_b16.mp3 и прислать мне — вставлю в блок</w:t>
            </w:r>
          </w:p>
        </w:tc>
        <w:tc>
          <w:tcPr>
            <w:tcW w:type="dxa" w:w="2721"/>
          </w:tcPr>
          <w:p>
            <w:pPr>
              <w:spacing w:after="20"/>
            </w:pPr>
            <w:r/>
            <w:r>
              <w:rPr>
                <w:sz w:val="20"/>
              </w:rPr>
              <w:t>Ученику нечего слушать, пять вопросов после рассказа не решаются</w:t>
            </w:r>
          </w:p>
        </w:tc>
      </w:tr>
      <w:tr>
        <w:tc>
          <w:tcPr>
            <w:tcW w:type="dxa" w:w="567"/>
          </w:tcPr>
          <w:p>
            <w:pPr>
              <w:spacing w:after="20"/>
            </w:pPr>
            <w:r/>
            <w:r>
              <w:rPr>
                <w:sz w:val="20"/>
              </w:rPr>
              <w:t>3</w:t>
            </w:r>
          </w:p>
        </w:tc>
        <w:tc>
          <w:tcPr>
            <w:tcW w:type="dxa" w:w="3175"/>
          </w:tcPr>
          <w:p>
            <w:pPr>
              <w:spacing w:after="20"/>
            </w:pPr>
            <w:r/>
            <w:r>
              <w:rPr>
                <w:sz w:val="20"/>
              </w:rPr>
              <w:t>Вставить ссылку на тест в план урока 5</w:t>
            </w:r>
          </w:p>
        </w:tc>
        <w:tc>
          <w:tcPr>
            <w:tcW w:type="dxa" w:w="3175"/>
          </w:tcPr>
          <w:p>
            <w:pPr>
              <w:spacing w:after="20"/>
            </w:pPr>
            <w:r/>
            <w:r>
              <w:rPr>
                <w:sz w:val="20"/>
              </w:rPr>
              <w:t>Unit 0 Lesson 5.docx, этап Test</w:t>
            </w:r>
          </w:p>
        </w:tc>
        <w:tc>
          <w:tcPr>
            <w:tcW w:type="dxa" w:w="2721"/>
          </w:tcPr>
          <w:p>
            <w:pPr>
              <w:spacing w:after="20"/>
            </w:pPr>
            <w:r/>
            <w:r>
              <w:rPr>
                <w:sz w:val="20"/>
              </w:rPr>
              <w:t>Учитель не запустит тест с урока</w:t>
            </w:r>
          </w:p>
        </w:tc>
      </w:tr>
      <w:tr>
        <w:tc>
          <w:tcPr>
            <w:tcW w:type="dxa" w:w="567"/>
          </w:tcPr>
          <w:p>
            <w:pPr>
              <w:spacing w:after="20"/>
            </w:pPr>
            <w:r/>
            <w:r>
              <w:rPr>
                <w:sz w:val="20"/>
              </w:rPr>
              <w:t>4</w:t>
            </w:r>
          </w:p>
        </w:tc>
        <w:tc>
          <w:tcPr>
            <w:tcW w:type="dxa" w:w="3175"/>
          </w:tcPr>
          <w:p>
            <w:pPr>
              <w:spacing w:after="20"/>
            </w:pPr>
            <w:r/>
            <w:r>
              <w:rPr>
                <w:sz w:val="20"/>
              </w:rPr>
              <w:t>Разложить планы туда, где преподаватели их берут</w:t>
            </w:r>
          </w:p>
        </w:tc>
        <w:tc>
          <w:tcPr>
            <w:tcW w:type="dxa" w:w="3175"/>
          </w:tcPr>
          <w:p>
            <w:pPr>
              <w:spacing w:after="20"/>
            </w:pPr>
            <w:r/>
            <w:r>
              <w:rPr>
                <w:sz w:val="20"/>
              </w:rPr>
              <w:t>Unit 0 Lesson 1–5.docx</w:t>
            </w:r>
          </w:p>
        </w:tc>
        <w:tc>
          <w:tcPr>
            <w:tcW w:type="dxa" w:w="2721"/>
          </w:tcPr>
          <w:p>
            <w:pPr>
              <w:spacing w:after="20"/>
            </w:pPr>
            <w:r/>
            <w:r>
              <w:rPr>
                <w:sz w:val="20"/>
              </w:rPr>
              <w:t>Учителю нечего открыть</w:t>
            </w:r>
          </w:p>
        </w:tc>
      </w:tr>
      <w:tr>
        <w:tc>
          <w:tcPr>
            <w:tcW w:type="dxa" w:w="567"/>
          </w:tcPr>
          <w:p>
            <w:pPr>
              <w:spacing w:after="20"/>
            </w:pPr>
            <w:r/>
            <w:r>
              <w:rPr>
                <w:sz w:val="20"/>
              </w:rPr>
              <w:t>5</w:t>
            </w:r>
          </w:p>
        </w:tc>
        <w:tc>
          <w:tcPr>
            <w:tcW w:type="dxa" w:w="3175"/>
          </w:tcPr>
          <w:p>
            <w:pPr>
              <w:spacing w:after="20"/>
            </w:pPr>
            <w:r/>
            <w:r>
              <w:rPr>
                <w:sz w:val="20"/>
              </w:rPr>
              <w:t>Посмотреть глазами домашки и тест после заливки</w:t>
            </w:r>
          </w:p>
        </w:tc>
        <w:tc>
          <w:tcPr>
            <w:tcW w:type="dxa" w:w="3175"/>
          </w:tcPr>
          <w:p>
            <w:pPr>
              <w:spacing w:after="20"/>
            </w:pPr>
            <w:r/>
            <w:r>
              <w:rPr>
                <w:sz w:val="20"/>
              </w:rPr>
              <w:t>На новом месте</w:t>
            </w:r>
          </w:p>
        </w:tc>
        <w:tc>
          <w:tcPr>
            <w:tcW w:type="dxa" w:w="2721"/>
          </w:tcPr>
          <w:p>
            <w:pPr>
              <w:spacing w:after="20"/>
            </w:pPr>
            <w:r/>
            <w:r>
              <w:rPr>
                <w:sz w:val="20"/>
              </w:rPr>
              <w:t>Ошибку найдёт ученик, а не мы</w:t>
            </w:r>
          </w:p>
        </w:tc>
      </w:tr>
      <w:tr>
        <w:tc>
          <w:tcPr>
            <w:tcW w:type="dxa" w:w="567"/>
          </w:tcPr>
          <w:p>
            <w:pPr>
              <w:spacing w:after="20"/>
            </w:pPr>
            <w:r/>
            <w:r>
              <w:rPr>
                <w:sz w:val="20"/>
              </w:rPr>
              <w:t>6</w:t>
            </w:r>
          </w:p>
        </w:tc>
        <w:tc>
          <w:tcPr>
            <w:tcW w:type="dxa" w:w="3175"/>
          </w:tcPr>
          <w:p>
            <w:pPr>
              <w:spacing w:after="20"/>
            </w:pPr>
            <w:r/>
            <w:r>
              <w:rPr>
                <w:sz w:val="20"/>
              </w:rPr>
              <w:t>Включить публикацию</w:t>
            </w:r>
          </w:p>
        </w:tc>
        <w:tc>
          <w:tcPr>
            <w:tcW w:type="dxa" w:w="3175"/>
          </w:tcPr>
          <w:p>
            <w:pPr>
              <w:spacing w:after="20"/>
            </w:pPr>
            <w:r/>
            <w:r>
              <w:rPr>
                <w:sz w:val="20"/>
              </w:rPr>
              <w:t>ДЗ 1–4 и тест, после проверки</w:t>
            </w:r>
          </w:p>
        </w:tc>
        <w:tc>
          <w:tcPr>
            <w:tcW w:type="dxa" w:w="2721"/>
          </w:tcPr>
          <w:p>
            <w:pPr>
              <w:spacing w:after="20"/>
            </w:pPr>
            <w:r/>
            <w:r>
              <w:rPr>
                <w:sz w:val="20"/>
              </w:rPr>
              <w:t>Уроки не видны ученикам</w:t>
            </w:r>
          </w:p>
        </w:tc>
      </w:tr>
    </w:tbl>
    <w:p>
      <w:pPr>
        <w:spacing w:after="120"/>
      </w:pPr>
      <w:r>
        <w:rPr>
          <w:b w:val="0"/>
          <w:i w:val="0"/>
          <w:sz w:val="22"/>
        </w:rPr>
      </w:r>
    </w:p>
    <w:p>
      <w:pPr>
        <w:spacing w:after="80"/>
      </w:pPr>
      <w:r>
        <w:rPr>
          <w:b/>
          <w:i w:val="0"/>
          <w:sz w:val="26"/>
        </w:rPr>
        <w:t>Текст аудирования — для записи</w:t>
      </w:r>
    </w:p>
    <w:p>
      <w:pPr>
        <w:spacing w:after="120"/>
      </w:pPr>
      <w:r>
        <w:rPr>
          <w:b w:val="0"/>
          <w:i/>
          <w:sz w:val="20"/>
        </w:rPr>
        <w:t>Тест, блок 16. Читать спокойно, один раз; ученик слушает запись дважды сам. На экране текста нет.</w:t>
      </w:r>
    </w:p>
    <w:p>
      <w:pPr>
        <w:spacing w:after="200"/>
      </w:pPr>
      <w:r>
        <w:rPr>
          <w:b w:val="0"/>
          <w:i w:val="0"/>
          <w:sz w:val="22"/>
        </w:rPr>
        <w:t>This is Penny. Penny is seven years old. She lives with her mum Claire, her dad Ted and her brother Nick. Penny’s bedroom is upstairs. Penny is good at dancing and she is good at telling stories, but she isn’t good at swimming. Her grandmother Julia is good at making cakes. Penny has got twenty-four books in her room.</w:t>
      </w:r>
    </w:p>
    <w:p>
      <w:pPr>
        <w:spacing w:after="120"/>
      </w:pPr>
      <w:r>
        <w:rPr>
          <w:b w:val="0"/>
          <w:i w:val="0"/>
          <w:sz w:val="22"/>
        </w:rPr>
      </w:r>
    </w:p>
    <w:p>
      <w:pPr>
        <w:spacing w:after="120"/>
      </w:pPr>
      <w:r>
        <w:rPr>
          <w:b w:val="0"/>
          <w:i/>
          <w:sz w:val="18"/>
        </w:rPr>
        <w:t>Решено 18.10: speaking в уроке 4 остаётся после Phonics focus; семейное дерево оставляем как есть, задания под него подобраны.</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