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Cover letter — author-review draft</w:t>
      </w:r>
    </w:p>
    <w:p>
      <w:r>
        <w:rPr>
          <w:sz w:val="22"/>
        </w:rPr>
        <w:t>Dear Editors,</w:t>
      </w:r>
    </w:p>
    <w:p>
      <w:r>
        <w:t>Please consider our Review Article, “Low-grade inflammation, stress-axis dysregulation and a proposed immune-metabolic continuum in suboptimal health defined by SHSQ-25,” for publication in Molecular Psychiatry.</w:t>
      </w:r>
    </w:p>
    <w:p>
      <w:r>
        <w:t>Suboptimal health status is commonly assessed with the SHSQ-25, yet biological reports use non-equivalent thresholds, populations, matrices and estimands. This review provides a source-audited narrative synthesis rather than a forced meta-analysis. Three direct SHS-related cortisol reports are retained study by study, but no primary pooled direct-cortisol estimate is reported because cohort independence, exposure definitions and estimands cannot be shown to be sufficiently comparable.</w:t>
      </w:r>
    </w:p>
    <w:p>
      <w:r>
        <w:t>Low-grade-inflammation, quality-of-life and fatigue findings are kept as bridge evidence. A proposed SLIM framework organizes immune-metabolic and mitochondrial hypotheses while explicitly distinguishing mechanistic-transfer evidence from direct human SHS evidence.</w:t>
      </w:r>
    </w:p>
    <w:p>
      <w:r>
        <w:t>The review package contains 19 identity-verified Vancouver references, three main-text tables and one evidence-bounded conceptual figure prepared for author review. It makes no standalone biomarker diagnostic claim and does not convert transfer evidence into direct SHS evidence.</w:t>
      </w:r>
    </w:p>
    <w:p>
      <w:r>
        <w:t>The manuscript is a narrative Review Article and does not report a new participant-level dataset or a new human intervention. Author-controlled originality, funding, competing-interest, contribution and correspondence statements will be completed before submission.</w:t>
      </w:r>
    </w:p>
    <w:p>
      <w:r>
        <w:t>Originality and exclusive-submission statement: *</w:t>
      </w:r>
    </w:p>
    <w:p>
      <w:r>
        <w:t>Funding statement: *</w:t>
      </w:r>
    </w:p>
    <w:p>
      <w:r>
        <w:t>Competing-interest statement: *</w:t>
      </w:r>
    </w:p>
    <w:p>
      <w:r>
        <w:t>Author approval and contribution statement: *</w:t>
      </w:r>
    </w:p>
    <w:p>
      <w:r>
        <w:t>Suggested or excluded reviewers, if requested: *</w:t>
      </w:r>
    </w:p>
    <w:p/>
    <w:p>
      <w:r>
        <w:t>Sincerely,</w:t>
      </w:r>
    </w:p>
    <w:p>
      <w:r>
        <w:rPr>
          <w:i/>
        </w:rPr>
        <w:br/>
        <w:t xml:space="preserve">Corresponding author: </w:t>
      </w:r>
      <w:r>
        <w:br/>
        <w:t xml:space="preserve">Affiliation: </w:t>
      </w:r>
      <w:r>
        <w:rPr>
          <w:i/>
        </w:rPr>
        <w:br/>
        <w:t xml:space="preserve">Email: </w:t>
      </w:r>
    </w:p>
    <w:p>
      <w:r>
        <w:rPr>
          <w:b w:val="0"/>
          <w:i/>
          <w:sz w:val="18"/>
        </w:rPr>
        <w:t>Data availability, code availability and ethics/consent statements are intentionally not included in this author-review draft.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 — Low-grade inflammation, stress-axis dysregulation and a proposed immune-metabolic continuum in suboptimal health defined by SHSQ-25</dc:title>
  <dc:subject>Author-review submission package</dc:subject>
  <dc:creator>*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