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Tables 1–3 — author-review package</w:t>
      </w:r>
    </w:p>
    <w:p>
      <w:r>
        <w:rPr>
          <w:b w:val="0"/>
          <w:i/>
          <w:sz w:val="18"/>
        </w:rPr>
        <w:t>These tables are duplicated from the clean manuscript copy for convenient review and upload preparation. They retain the evidence boundaries and are not independent quantitative evidence files.</w:t>
      </w:r>
    </w:p>
    <w:p>
      <w:pPr>
        <w:spacing w:before="120" w:after="60"/>
      </w:pPr>
      <w:r>
        <w:rPr>
          <w:b/>
          <w:sz w:val="19"/>
        </w:rPr>
        <w:t>**Table 1. Source-audited direct SHS–cortisol reports and pooling disposition.** Values labelled derived are calculated from source-reported group summaries; the table does not constitute a primary pooled estimate.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Report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Source-located data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Derived study-level contrast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Locked interpretation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Yan et al. 2012 [8]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Serum cortisol: high sample-median SHS score ≥44, n=1,547, 204.31 ± 40.06 ng/mL; low score &lt;44, n=1,472, 161.33 ± 27.83 ng/mL; PDF p.6 Table 2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MD 42.98 ng/mL; derived 95% CI 40.53–45.43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Potentially etiologic, but recruitment period and employer overlap are unresolved; raw serum estimate not pooled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Yan et al. 2015 [9]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Plasma cortisol: high sample-median SHS score ≥35, n=193, 178.58 ± 18.25 ng/mL; low score &lt;35, n=189, 167.77 ± 12.25 ng/mL; mRNA GRα 86.79 ± 44.79 vs 100.52 ± 58.71 (</w:t>
            </w:r>
            <w:r>
              <w:rPr>
                <w:rFonts w:ascii="Courier New" w:hAnsi="Courier New"/>
                <w:sz w:val="16"/>
              </w:rPr>
              <w:t>p=0.027</w:t>
            </w:r>
            <w:r>
              <w:rPr>
                <w:sz w:val="16"/>
              </w:rPr>
              <w:t>), GRβ/GRα 0.93 ± 0.64 vs 0.78 ± 0.47 (</w:t>
            </w:r>
            <w:r>
              <w:rPr>
                <w:rFonts w:ascii="Courier New" w:hAnsi="Courier New"/>
                <w:sz w:val="16"/>
              </w:rPr>
              <w:t>p=0.021</w:t>
            </w:r>
            <w:r>
              <w:rPr>
                <w:sz w:val="16"/>
              </w:rPr>
              <w:t>); PDF p.6 Table 4; adjusted for sex, age, company and waking-to-sampling interval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MD 10.81 ng/mL; derived 95% CI 7.70–13.92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Direct SHSQ-25 stress-axis/receptor evidence, but the January–April 2012 Xuanwu Hospital frame may overlap Yan 2012 and cortisol values are adjusted; GR findings are not pooled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Yan et al. 2018 [10]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Plasma cortisol: LCA-defined SHS, n=298, 205.80 ± 29.82 ng/mL; LCA-defined health, n=570, 161.80 ± 7.79 ng/mL; PDF p.4 Table 2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MD 44.00 ng/mL; derived 95% CI 40.55–47.45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Diagnostic evidence only: cortisol is a manifest variable in the class assignment and cannot be treated as an independent outcome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sz w:val="19"/>
        </w:rPr>
        <w:t>**Table 2. Evidence strata and permissible inference boundaries.** Counts refer to verified article-level records, not independent cohorts or interchangeable biomarker studies.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Evidence stratum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Article-level records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Evidence basis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Permissible inference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Not permissible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SHSQ-25 measurement context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Article identity verified; source role recorded in the reference register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Defines the questionnaire construct and cutoff context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Biomarker effect or mechanistic conclusion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Direct SHS–cortisol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Supplied PDFs locally audited; locked synthesis map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Study-level cortisol observations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Primary pooled cortisol estimate; causal HPA claim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Direct SHSQ-25 molecular bridge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Source-audited human molecular bridge; article identity and source table verified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Association of SHS with relative telomere length/cellular-ageing signal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Mitochondrial-dynamics mediation or cortisol pooling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Pregnancy-specific oxidative/vascular bridge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PubMed/PMC identity and full text verified online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Pregnancy-specific oxidative, placental and angiogenic context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Generalization to non-pregnant adults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SHS context/multi-omics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Source-audited records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Vascular, glycomic, symptom-network and psychosocial context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Temporal/causal network inference or mitochondrial mechanism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Non-SHS low-grade-inflammation bridges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Article identities and outcome-specific source records verified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Separate HRQoL/fatigue bridge narrative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Treating CRP/IL-6 results as direct SHSQ-25 evidence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Mechanistic-transfer evidence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Exact identities verified; mechanistic-transfer evidence considered separately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Biological plausibility and testable hypotheses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Claim that the pathway is demonstrated in SHS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6"/>
              </w:rPr>
              <w:t>19 verified anchors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6"/>
              </w:rPr>
              <w:t>Layered narrative synthesis</w:t>
            </w:r>
          </w:p>
        </w:tc>
        <w:tc>
          <w:tcPr>
            <w:tcW w:type="dxa" w:w="19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6"/>
              </w:rPr>
              <w:t>No primary pooled direct-cortisol result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sz w:val="19"/>
        </w:rPr>
        <w:t>**Table 3. Prospective validation matrix for direct SHSQ-25 human evidence.** This is a study-design recommendation and must not be read as a current evidence-extraction table.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Validation domain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Minimum reporting requirement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Guardrail against over-interpretation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Phenotype definition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Preserve the continuous SHS score and item/domain scores; report the cutoff, symptom duration and diagnostic exclusions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Do not define SHS with a biomarker that is subsequently analysed as its outcome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Cohort provenance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Record recruitment site, calendar window, sampling frame and a non-identifying cohort identifier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Reconcile repeated publications before any pooled analysis; do not infer independence from author lists alone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Stress-axis measurement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Prespecify cortisol matrix, clock time, fasting/waking interval, assay and replicate/QC procedures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Do not combine serum, plasma, adjusted and raw contrasts without an estimand plan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Inflammation and blood indices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Collect CRP, IL-6 and routine cell-count indices with assay limits and batch information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Treat these as candidate correlates until directly measured in the SHSQ-25 cohort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Autonomic physiology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Define HRV metric, recording duration, preprocessing, artefact handling, posture and medication exclusions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Do not call a result “HRV” without a prespecified metric and acquisition window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Cellular bioenergetics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If PBMC assays are used, report cell composition, normalization, instrument/QC procedures and batch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Do not infer whole-body OXPHOS or mitochondrial dysfunction from an unnormalised ex vivo signal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Mitochondrial dynamics and innate sensing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Treat Drp1/MFN2/OPA1/PINK1/Parkin, mtDNA, cGAS–STING and NLRP3 as prospectively specified exploratory endpoints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These endpoints are not directly demonstrated in the current SHSQ-25 evidence set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Analysis and replication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Pre-register primary estimands, repeated-measure models, missing-data rules and an external replication cohort</w:t>
            </w:r>
          </w:p>
        </w:tc>
        <w:tc>
          <w:tcPr>
            <w:tcW w:type="dxa" w:w="32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sz w:val="16"/>
              </w:rPr>
              <w:t>Separate prediction, association and mediation; do not claim causality from one cross-sectional wave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— Low-grade inflammation, stress-axis dysregulation and a proposed immune-metabolic continuum in suboptimal health defined by SHSQ-25</dc:title>
  <dc:subject>Author-review submission package</dc:subject>
  <dc:creator>*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