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Times New Roman" w:hAnsi="Times New Roman" w:eastAsia="黑体"/>
          <w:b/>
          <w:sz w:val="32"/>
        </w:rPr>
        <w:t>基于巨噬细胞时相极化探讨伤科三期辨证的择时干预</w:t>
      </w:r>
    </w:p>
    <w:p>
      <w:pPr>
        <w:spacing w:before="200" w:after="100"/>
      </w:pPr>
      <w:r>
        <w:rPr>
          <w:rFonts w:ascii="Times New Roman" w:hAnsi="Times New Roman" w:eastAsia="黑体"/>
          <w:b/>
          <w:sz w:val="24"/>
        </w:rPr>
        <w:t>摘要</w:t>
      </w:r>
    </w:p>
    <w:p>
      <w:pPr>
        <w:spacing w:after="60" w:line="360" w:lineRule="auto"/>
        <w:ind w:firstLine="420"/>
      </w:pPr>
      <w:r>
        <w:rPr>
          <w:rFonts w:ascii="Times New Roman" w:hAnsi="Times New Roman" w:eastAsia="宋体"/>
          <w:b w:val="0"/>
          <w:sz w:val="21"/>
        </w:rPr>
        <w:t>急性软组织损伤（acute soft tissue injury，ASTI）是骨伤科常见病。损伤后巨噬细胞由促炎（M1）表型向修复（M2）表型转换，此转换能否按期完成直接决定修复结局。伤科三期辨证以初期消、中期和、后期补分治，其治法更迭本身即隐含对修复进程的时间判断。本文以巨噬细胞时相极化为主线，梳理损伤后 0～72 h 的 M1 主导清创期、3～7 d 的 M1→M2 转换窗、1～2 周的 M2 主导修复期与 2 周以后的基质重塑期四个时窗及其代谢基础，提出糖酵解向脂肪酸氧化的切换是决定转换时点的底层条件。在此基础上论证消、和、补三法分别对应促消退而不压制清创、主动促成转换、维持 M2 功能质量并防纤维化三个免疫学落点。筋伤领域现行共识所给修复进程刻度（72 h／3 d／15 d／6 周）与免疫时相在关键边界上吻合，而中药给药分期长期以周计，两者未获并置检验。文献分析显示，中医药领域已能调控极化方向、已观察到效应的时相结构、临床亦已按时相择机施术，但尚无研究将起始干预时点设为自变量；反向证据提示该转换存在最优时点，而非越早越好。据此提出以时窗为标尺重排证据的四元框架，标识 3～7 d 转换窗与 2 周后重塑期两处空白，为 ASTI 中医药择时干预研究提供可检验的路径。</w:t>
      </w:r>
    </w:p>
    <w:p>
      <w:pPr>
        <w:spacing w:after="60" w:line="360" w:lineRule="auto"/>
        <w:ind w:firstLine="0"/>
      </w:pPr>
      <w:r>
        <w:rPr>
          <w:rFonts w:ascii="Times New Roman" w:hAnsi="Times New Roman" w:eastAsia="宋体"/>
          <w:b/>
          <w:sz w:val="21"/>
        </w:rPr>
        <w:t>关键词：</w:t>
      </w:r>
      <w:r>
        <w:rPr>
          <w:rFonts w:ascii="Times New Roman" w:hAnsi="Times New Roman" w:eastAsia="宋体"/>
          <w:b w:val="0"/>
          <w:sz w:val="21"/>
        </w:rPr>
        <w:t xml:space="preserve"> 急性软组织损伤；巨噬细胞极化；伤科三期辨证；炎症消退；给药时机</w:t>
      </w:r>
    </w:p>
    <w:p>
      <w:pPr>
        <w:spacing w:before="200" w:after="100"/>
      </w:pPr>
      <w:r>
        <w:rPr>
          <w:rFonts w:ascii="Times New Roman" w:hAnsi="Times New Roman" w:eastAsia="黑体"/>
          <w:b/>
          <w:sz w:val="24"/>
        </w:rPr>
        <w:t>1 引言</w:t>
      </w:r>
    </w:p>
    <w:p>
      <w:pPr>
        <w:spacing w:after="60" w:line="360" w:lineRule="auto"/>
        <w:ind w:firstLine="420"/>
      </w:pPr>
      <w:r>
        <w:rPr>
          <w:rFonts w:ascii="Times New Roman" w:hAnsi="Times New Roman" w:eastAsia="宋体"/>
          <w:b w:val="0"/>
          <w:sz w:val="21"/>
        </w:rPr>
        <w:t>急性软组织损伤（acute soft tissue injury，ASTI）是骨科与运动医学门诊的常见病种，其病理核心为创伤性无菌性炎症：损伤即刻血管破裂、组织水肿，继而损伤相关分子模式（DAMPs）激活固有免疫，引发炎性细胞浸润与细胞因子级联[1]。现行处理以 RICE 原则为基础，辅以非甾体抗炎药（NSAIDs），但系统评价显示其镇痛效果与对乙酰氨基酚无异[2]，且单纯抑制炎症是否有利于修复仍有争议。巨噬细胞是衔接炎症启动、消退与组织重塑的核心细胞。损伤后，巨噬细胞由 M1（促炎）表型向 M2（修复）表型转换，此转换能否按期完成直接决定修复结局[3,4]。极化方向取决于细胞内在的代谢模式：M1 依赖有氧糖酵解，M2 偏好氧化磷酸化与脂肪酸氧化[5,6]。因此，使巨噬细胞极化在恰当的时点发生转换，对 ASTI 修复具有重要价值。</w:t>
      </w:r>
    </w:p>
    <w:p>
      <w:pPr>
        <w:spacing w:after="60" w:line="360" w:lineRule="auto"/>
        <w:ind w:firstLine="420"/>
      </w:pPr>
      <w:r>
        <w:rPr>
          <w:rFonts w:ascii="Times New Roman" w:hAnsi="Times New Roman" w:eastAsia="宋体"/>
          <w:b w:val="0"/>
          <w:sz w:val="21"/>
        </w:rPr>
        <w:t>中医学将 ASTI 归入"筋伤"范畴，病机为气滞血瘀、筋伤络损，伤科三期辨证以初期消、中期和、后期补分治，其治法更迭本身即隐含对修复进程的时间判断[7]。已有研究证实中药可干预损伤局部免疫微环境，如外用栀黄膏经促进调节性 T 细胞趋化而促进骨骼肌修复[8]。</w:t>
      </w:r>
    </w:p>
    <w:p>
      <w:pPr>
        <w:spacing w:after="60" w:line="360" w:lineRule="auto"/>
        <w:ind w:firstLine="420"/>
      </w:pPr>
      <w:r>
        <w:rPr>
          <w:rFonts w:ascii="Times New Roman" w:hAnsi="Times New Roman" w:eastAsia="宋体"/>
          <w:b w:val="0"/>
          <w:sz w:val="21"/>
        </w:rPr>
        <w:t>值得关注的是，"给药时点决定疗效方向"已在骨骼肌损伤模型中获得以时点为唯一自变量的验证[9,10]，在生物材料领域更已发展为按免疫时相分段给予不同信号的设计规范[11,12]。现有综述多聚焦中药调控巨噬细胞极化在心血管[13]、溃疡性结肠炎[14]、肿瘤[15]或泛炎症性疾病[16]中的作用，尚无以 ASTI 为模型、将巨噬细胞时相极化与中医药干预时窗相衔接的专题梳理。在中医药一侧，针灸虽已观察到效应的时相结构并与转换窗重合[17,18]，中药亦有筋伤原位模型的阳性证据[19]，推拿更在经验层面按时相择机施术[20-22]，却尚无研究将起始干预时点设为自变量。同时，筋伤修复进程的时间刻度以天计，中药给药分期却长期以周计，两者从未并置检验。</w:t>
      </w:r>
    </w:p>
    <w:p>
      <w:pPr>
        <w:spacing w:after="60" w:line="360" w:lineRule="auto"/>
        <w:ind w:firstLine="420"/>
      </w:pPr>
      <w:r>
        <w:rPr>
          <w:rFonts w:ascii="Times New Roman" w:hAnsi="Times New Roman" w:eastAsia="宋体"/>
          <w:b w:val="0"/>
          <w:sz w:val="21"/>
        </w:rPr>
        <w:t>基于此，本文以巨噬细胞时相极化（指极化状态沿损伤后时间轴的阶段性演变，下同）为主线，梳理 ASTI 修复的免疫时窗及其代谢基础，论证"消—和—补"三法的免疫学落点，并按时窗重排中医药干预证据，以期为 ASTI 择时干预研究提供可检验的框架。</w:t>
      </w:r>
    </w:p>
    <w:p>
      <w:pPr>
        <w:spacing w:before="200" w:after="100"/>
      </w:pPr>
      <w:r>
        <w:rPr>
          <w:rFonts w:ascii="Times New Roman" w:hAnsi="Times New Roman" w:eastAsia="黑体"/>
          <w:b/>
          <w:sz w:val="24"/>
        </w:rPr>
        <w:t>2 伤科三期辨证的理论内涵</w:t>
      </w:r>
    </w:p>
    <w:p>
      <w:pPr>
        <w:spacing w:before="160" w:after="100"/>
      </w:pPr>
      <w:r>
        <w:rPr>
          <w:rFonts w:ascii="Times New Roman" w:hAnsi="Times New Roman" w:eastAsia="黑体"/>
          <w:b/>
          <w:sz w:val="21"/>
        </w:rPr>
        <w:t>2.1 "肢体损于外，气血伤于内"：筋伤的整体观</w:t>
      </w:r>
    </w:p>
    <w:p>
      <w:pPr>
        <w:spacing w:after="60" w:line="360" w:lineRule="auto"/>
        <w:ind w:firstLine="420"/>
      </w:pPr>
      <w:r>
        <w:rPr>
          <w:rFonts w:ascii="Times New Roman" w:hAnsi="Times New Roman" w:eastAsia="宋体"/>
          <w:b w:val="0"/>
          <w:sz w:val="21"/>
        </w:rPr>
        <w:t>自唐代蔺道人《仙授理伤续断秘方》确立整复、固定与用药的诊疗次第以降，中医伤科逐步建立起内治与外治并列的完整体系。明代薛己《正体类要》序言提出"肢体损于外，则气血伤于内，荣卫有所不贯，脏腑由之不和"，奠定伤科整体观，即局部损伤必引起全身气血营卫失衡，治疗不可囿于局部。清代《医宗金鉴·正骨心法要旨·内治杂证法》开宗明义："今之正骨科，即古跌打损伤之证也。专从血论，须先辨或有瘀血停积，或为亡血过多，然后施以内治之法"，将"血"确立为伤科诸证的共同病理枢纽。</w:t>
      </w:r>
    </w:p>
    <w:p>
      <w:pPr>
        <w:spacing w:after="60" w:line="360" w:lineRule="auto"/>
        <w:ind w:firstLine="420"/>
      </w:pPr>
      <w:r>
        <w:rPr>
          <w:rFonts w:ascii="Times New Roman" w:hAnsi="Times New Roman" w:eastAsia="宋体"/>
          <w:b w:val="0"/>
          <w:sz w:val="21"/>
        </w:rPr>
        <w:t>该篇随后给出的两点，与本文关系甚大。其一是分辨标准而非固定程式，所谓"二者治法不同。有瘀血者，宜攻利之；亡血者，宜补而行之"；其二是治疗的时间顺序，所谓"必先逐去瘀血，和荣止痛，然后调养气血，自无不效"。前者说明伤科一攻一补的分野依据在于病机状态而非伤后时日，后者说明古人论伤科用药本就持"序贯"而非"并进"的态度。这两点将在 4.4 节重新被提起。</w:t>
      </w:r>
    </w:p>
    <w:p>
      <w:pPr>
        <w:spacing w:after="60" w:line="360" w:lineRule="auto"/>
        <w:ind w:firstLine="420"/>
      </w:pPr>
      <w:r>
        <w:rPr>
          <w:rFonts w:ascii="Times New Roman" w:hAnsi="Times New Roman" w:eastAsia="宋体"/>
          <w:b w:val="0"/>
          <w:sz w:val="21"/>
        </w:rPr>
        <w:t>这一整体观对现代研究的启示是明确的：ASTI 的局部免疫微环境并非孤立事件，而处在全身状态（含肠道菌群与系统性炎症水平[23]）的调控之下；同时也提示，以"抗炎"为单一目标的思路与中医"调和气血"存在根本差异，前者针对炎症强度，后者针对炎症的转归。</w:t>
      </w:r>
    </w:p>
    <w:p>
      <w:pPr>
        <w:spacing w:before="160" w:after="100"/>
      </w:pPr>
      <w:r>
        <w:rPr>
          <w:rFonts w:ascii="Times New Roman" w:hAnsi="Times New Roman" w:eastAsia="黑体"/>
          <w:b/>
          <w:sz w:val="21"/>
        </w:rPr>
        <w:t>2.2 三期分治：消、和、补三法的治法内涵</w:t>
      </w:r>
    </w:p>
    <w:p>
      <w:pPr>
        <w:spacing w:after="60" w:line="360" w:lineRule="auto"/>
        <w:ind w:firstLine="420"/>
      </w:pPr>
      <w:r>
        <w:rPr>
          <w:rFonts w:ascii="Times New Roman" w:hAnsi="Times New Roman" w:eastAsia="宋体"/>
          <w:b w:val="0"/>
          <w:sz w:val="21"/>
        </w:rPr>
        <w:t>现代中医骨伤科学将损伤的药物治疗归纳为初期消、中期和、后期补的三期分治。"三期"并非人为划分的时间标签，其实质是对损伤修复不同阶段病理特征的治法回应。</w:t>
      </w:r>
    </w:p>
    <w:p>
      <w:pPr>
        <w:spacing w:after="60" w:line="360" w:lineRule="auto"/>
        <w:ind w:firstLine="420"/>
      </w:pPr>
      <w:r>
        <w:rPr>
          <w:rFonts w:ascii="Times New Roman" w:hAnsi="Times New Roman" w:eastAsia="宋体"/>
          <w:b w:val="0"/>
          <w:sz w:val="21"/>
        </w:rPr>
        <w:t>初期以消法为主，重在行气活血、消肿止痛。 "消"指使瘀滞消散，手段不限于活血化瘀，兼含清热、通下、利水，代表方如桃红四物汤、复元活血汤，外治如栀黄膏、冲和膏类。"消"的本义与"攻""伐"有别，清代医家反复申明伤科攻逐须"衰其大半而止"，即消法的目标是恢复气血通畅，而非彻底清除某一病理产物。</w:t>
      </w:r>
    </w:p>
    <w:p>
      <w:pPr>
        <w:spacing w:after="60" w:line="360" w:lineRule="auto"/>
        <w:ind w:firstLine="420"/>
      </w:pPr>
      <w:r>
        <w:rPr>
          <w:rFonts w:ascii="Times New Roman" w:hAnsi="Times New Roman" w:eastAsia="宋体"/>
          <w:b w:val="0"/>
          <w:sz w:val="21"/>
        </w:rPr>
        <w:t>中期以和法为主，重在和营生新、接骨续筋。 "和"在中医治则中具枢纽地位：不对抗任何一方，而使气血、营卫、脏腑的关系重新协调。《医学心悟·医门八法》谓"和之义则一，而和之法变化无穷焉"，要旨在于使失和者复归于和。在损伤修复语境中，和法所处理的正是"交接"问题，即由破到立、由攻到补的过渡，代表方如和营止痛汤、接骨紫金丹类。</w:t>
      </w:r>
    </w:p>
    <w:p>
      <w:pPr>
        <w:spacing w:after="60" w:line="360" w:lineRule="auto"/>
        <w:ind w:firstLine="420"/>
      </w:pPr>
      <w:r>
        <w:rPr>
          <w:rFonts w:ascii="Times New Roman" w:hAnsi="Times New Roman" w:eastAsia="宋体"/>
          <w:b w:val="0"/>
          <w:sz w:val="21"/>
        </w:rPr>
        <w:t>后期以补法为主，重在补益肝肾、强筋壮骨。 《素问·痿论》言"肝主身之筋膜"，《素问·阴阳应象大论》言"肾生骨髓"，筋骨修复能力取决于肝肾精血的充盈，故后期以补肝肾、益气血为主，代表方如壮筋养血汤、健步虎潜丸类。补法尚有一常被忽略的要点：须"补而不滞"，若一味峻补致气血壅滞，反使瘀滞不散、瘢痕不化。</w:t>
      </w:r>
    </w:p>
    <w:p>
      <w:pPr>
        <w:spacing w:after="60" w:line="360" w:lineRule="auto"/>
        <w:ind w:firstLine="420"/>
      </w:pPr>
      <w:r>
        <w:rPr>
          <w:rFonts w:ascii="Times New Roman" w:hAnsi="Times New Roman" w:eastAsia="宋体"/>
          <w:b w:val="0"/>
          <w:sz w:val="21"/>
        </w:rPr>
        <w:t>三期之间并非截然分割，临床经验强调"消中有和、和中带补"，即相邻治法在交界处相互渗透。这一句经验之谈正是本文第 4 章要讨论的对象，它在免疫学上可获得一个精确的对应物。</w:t>
      </w:r>
    </w:p>
    <w:p>
      <w:pPr>
        <w:spacing w:before="200" w:after="100"/>
      </w:pPr>
      <w:r>
        <w:rPr>
          <w:rFonts w:ascii="Times New Roman" w:hAnsi="Times New Roman" w:eastAsia="黑体"/>
          <w:b/>
          <w:sz w:val="24"/>
        </w:rPr>
        <w:t>3 巨噬细胞时相极化驱动 ASTI 修复的分子机制</w:t>
      </w:r>
    </w:p>
    <w:p>
      <w:pPr>
        <w:spacing w:before="160" w:after="100"/>
      </w:pPr>
      <w:r>
        <w:rPr>
          <w:rFonts w:ascii="Times New Roman" w:hAnsi="Times New Roman" w:eastAsia="黑体"/>
          <w:b/>
          <w:sz w:val="21"/>
        </w:rPr>
        <w:t>3.1 从 M1/M2 二分到连续谱：四个时窗的功能态</w:t>
      </w:r>
    </w:p>
    <w:p>
      <w:pPr>
        <w:spacing w:after="60" w:line="360" w:lineRule="auto"/>
        <w:ind w:firstLine="420"/>
      </w:pPr>
      <w:r>
        <w:rPr>
          <w:rFonts w:ascii="Times New Roman" w:hAnsi="Times New Roman" w:eastAsia="宋体"/>
          <w:b w:val="0"/>
          <w:sz w:val="21"/>
        </w:rPr>
        <w:t>传统分类将巨噬细胞简化为两个极端状态：M1 由 IFN-γ、LPS 诱导，高表达 iNOS、CD86、MHC-II，分泌 TNF-α、IL-1β、IL-6，参与病原体清除；M2 由 IL-4、IL-13 诱导，高表达 CD206、Arg-1、Fizz1，分泌 IL-10、TGF-β，参与组织修复[24]。但单细胞转录组学已明确，体内巨噬细胞呈高度异质性的连续极化谱[25]。在骨骼肌损伤修复中，至少可鉴定出炎症启动型（Nos2</w:t>
      </w:r>
      <w:r>
        <w:rPr>
          <w:rFonts w:ascii="Times New Roman" w:hAnsi="Times New Roman" w:eastAsia="宋体"/>
          <w:b w:val="0"/>
          <w:sz w:val="21"/>
          <w:vertAlign w:val="superscript"/>
        </w:rPr>
        <w:t>+</w:t>
      </w:r>
      <w:r>
        <w:rPr>
          <w:rFonts w:ascii="Times New Roman" w:hAnsi="Times New Roman" w:eastAsia="宋体"/>
          <w:b w:val="0"/>
          <w:sz w:val="21"/>
        </w:rPr>
        <w:t>/Il1b</w:t>
      </w:r>
      <w:r>
        <w:rPr>
          <w:rFonts w:ascii="Times New Roman" w:hAnsi="Times New Roman" w:eastAsia="宋体"/>
          <w:b w:val="0"/>
          <w:sz w:val="21"/>
          <w:vertAlign w:val="superscript"/>
        </w:rPr>
        <w:t>+</w:t>
      </w:r>
      <w:r>
        <w:rPr>
          <w:rFonts w:ascii="Times New Roman" w:hAnsi="Times New Roman" w:eastAsia="宋体"/>
          <w:b w:val="0"/>
          <w:sz w:val="21"/>
        </w:rPr>
        <w:t>）、损伤招募修复型（Mrc1</w:t>
      </w:r>
      <w:r>
        <w:rPr>
          <w:rFonts w:ascii="Times New Roman" w:hAnsi="Times New Roman" w:eastAsia="宋体"/>
          <w:b w:val="0"/>
          <w:sz w:val="21"/>
          <w:vertAlign w:val="superscript"/>
        </w:rPr>
        <w:t>+</w:t>
      </w:r>
      <w:r>
        <w:rPr>
          <w:rFonts w:ascii="Times New Roman" w:hAnsi="Times New Roman" w:eastAsia="宋体"/>
          <w:b w:val="0"/>
          <w:sz w:val="21"/>
        </w:rPr>
        <w:t>/Tgfb1</w:t>
      </w:r>
      <w:r>
        <w:rPr>
          <w:rFonts w:ascii="Times New Roman" w:hAnsi="Times New Roman" w:eastAsia="宋体"/>
          <w:b w:val="0"/>
          <w:sz w:val="21"/>
          <w:vertAlign w:val="superscript"/>
        </w:rPr>
        <w:t>+</w:t>
      </w:r>
      <w:r>
        <w:rPr>
          <w:rFonts w:ascii="Times New Roman" w:hAnsi="Times New Roman" w:eastAsia="宋体"/>
          <w:b w:val="0"/>
          <w:sz w:val="21"/>
        </w:rPr>
        <w:t>）、组织驻留型（Cd163</w:t>
      </w:r>
      <w:r>
        <w:rPr>
          <w:rFonts w:ascii="Times New Roman" w:hAnsi="Times New Roman" w:eastAsia="宋体"/>
          <w:b w:val="0"/>
          <w:sz w:val="21"/>
          <w:vertAlign w:val="superscript"/>
        </w:rPr>
        <w:t>+</w:t>
      </w:r>
      <w:r>
        <w:rPr>
          <w:rFonts w:ascii="Times New Roman" w:hAnsi="Times New Roman" w:eastAsia="宋体"/>
          <w:b w:val="0"/>
          <w:sz w:val="21"/>
        </w:rPr>
        <w:t>/Retnla</w:t>
      </w:r>
      <w:r>
        <w:rPr>
          <w:rFonts w:ascii="Times New Roman" w:hAnsi="Times New Roman" w:eastAsia="宋体"/>
          <w:b w:val="0"/>
          <w:sz w:val="21"/>
          <w:vertAlign w:val="superscript"/>
        </w:rPr>
        <w:t>+</w:t>
      </w:r>
      <w:r>
        <w:rPr>
          <w:rFonts w:ascii="Times New Roman" w:hAnsi="Times New Roman" w:eastAsia="宋体"/>
          <w:b w:val="0"/>
          <w:sz w:val="21"/>
        </w:rPr>
        <w:t>）等亚群，以及新近发现的 GPNMB</w:t>
      </w:r>
      <w:r>
        <w:rPr>
          <w:rFonts w:ascii="Times New Roman" w:hAnsi="Times New Roman" w:eastAsia="宋体"/>
          <w:b w:val="0"/>
          <w:sz w:val="21"/>
          <w:vertAlign w:val="superscript"/>
        </w:rPr>
        <w:t>hi</w:t>
      </w:r>
      <w:r>
        <w:rPr>
          <w:rFonts w:ascii="Times New Roman" w:hAnsi="Times New Roman" w:eastAsia="宋体"/>
          <w:b w:val="0"/>
          <w:sz w:val="21"/>
        </w:rPr>
        <w:t>Ly6C</w:t>
      </w:r>
      <w:r>
        <w:rPr>
          <w:rFonts w:ascii="Times New Roman" w:hAnsi="Times New Roman" w:eastAsia="宋体"/>
          <w:b w:val="0"/>
          <w:sz w:val="21"/>
          <w:vertAlign w:val="superscript"/>
        </w:rPr>
        <w:t>lo</w:t>
      </w:r>
      <w:r>
        <w:rPr>
          <w:rFonts w:ascii="Times New Roman" w:hAnsi="Times New Roman" w:eastAsia="宋体"/>
          <w:b w:val="0"/>
          <w:sz w:val="21"/>
        </w:rPr>
        <w:t xml:space="preserve"> 再生性巨噬细胞，后者共表达 Igf1、Mertk、Nr1h3，于伤后第 3 天达峰，直接促进肌母细胞分化与肌肉再生，GPNMB 敲除则损害胞葬作用与再生[26]。</w:t>
      </w:r>
    </w:p>
    <w:p>
      <w:pPr>
        <w:spacing w:after="60" w:line="360" w:lineRule="auto"/>
        <w:ind w:firstLine="420"/>
      </w:pPr>
      <w:r>
        <w:rPr>
          <w:rFonts w:ascii="Times New Roman" w:hAnsi="Times New Roman" w:eastAsia="宋体"/>
          <w:b w:val="0"/>
          <w:sz w:val="21"/>
        </w:rPr>
        <w:t>在 ASTI 的修复时序中，巨噬细胞的功能态可按四个时窗刻画（图 1）：</w:t>
      </w:r>
    </w:p>
    <w:p>
      <w:pPr>
        <w:spacing w:after="60" w:line="360" w:lineRule="auto"/>
        <w:ind w:firstLine="420"/>
      </w:pPr>
      <w:r>
        <w:rPr>
          <w:rFonts w:ascii="Times New Roman" w:hAnsi="Times New Roman" w:eastAsia="宋体"/>
          <w:b/>
          <w:sz w:val="21"/>
        </w:rPr>
        <w:t>时窗一（0～72 h）M1 主导的清创期。</w:t>
      </w:r>
      <w:r>
        <w:rPr>
          <w:rFonts w:ascii="Times New Roman" w:hAnsi="Times New Roman" w:eastAsia="宋体"/>
          <w:b w:val="0"/>
          <w:sz w:val="21"/>
        </w:rPr>
        <w:t xml:space="preserve"> 损伤即刻，DAMPs（HMGB1、HSPs、线粒体 DNA、ATP 等）经 TLR4、NLRP3 等模式识别受体激活固有免疫[1]；中性粒细胞 6～24 h 达浸润峰值，单核细胞随后在 CCL2/MCP-1、CCL7 引导下募集并分化为巨噬细胞[27]。此期 M1 经吞噬、ROS 与 NO 爆发、蛋白水解酶释放执行清创。关键认识是：此期 M1 功能为修复所必需，而非治疗打击的对象。</w:t>
      </w:r>
    </w:p>
    <w:p>
      <w:pPr>
        <w:spacing w:after="60" w:line="360" w:lineRule="auto"/>
        <w:ind w:firstLine="420"/>
      </w:pPr>
      <w:r>
        <w:rPr>
          <w:rFonts w:ascii="Times New Roman" w:hAnsi="Times New Roman" w:eastAsia="宋体"/>
          <w:b w:val="0"/>
          <w:sz w:val="21"/>
        </w:rPr>
        <w:t>时窗二（3～7 d）M1→M2 转换窗。 炎症消退由促消退介质（SPMs，含脂氧素、消退素、保护素与 maresins）主动驱动[28,29]。核心触发事件是胞葬作用（efferocytosis），即巨噬细胞识别并清除凋亡中性粒细胞，该过程由 MerTK、Tim4、αvβ3/αvβ5 整合素介导，并诱导 IL-10 与 TGF-β 分泌，促使巨噬细胞转向抗炎表型[30,31]。骨骼肌损伤模型最接近 ASTI，该时程在其中已被精确刻画：炎性 Ly-6C</w:t>
      </w:r>
      <w:r>
        <w:rPr>
          <w:rFonts w:ascii="Times New Roman" w:hAnsi="Times New Roman" w:eastAsia="宋体"/>
          <w:b w:val="0"/>
          <w:sz w:val="21"/>
          <w:vertAlign w:val="superscript"/>
        </w:rPr>
        <w:t>+</w:t>
      </w:r>
      <w:r>
        <w:rPr>
          <w:rFonts w:ascii="Times New Roman" w:hAnsi="Times New Roman" w:eastAsia="宋体"/>
          <w:b w:val="0"/>
          <w:sz w:val="21"/>
        </w:rPr>
        <w:t xml:space="preserve"> 单核细胞于损伤后 24～48 h 募集，自第 2 天起在肌内转换为抗炎表型；此转换由吞噬坏死肌纤维碎片直接触发，并伴 TGF-β1 释放；抗炎巨噬细胞随后于第 4～7 天原位增殖并达峰[32]；与此同步，脂质介质由促炎类二十烷酸转向 SPMs[33]。肌肉挫伤模型中该时程同样成立，M1（CD197</w:t>
      </w:r>
      <w:r>
        <w:rPr>
          <w:rFonts w:ascii="Times New Roman" w:hAnsi="Times New Roman" w:eastAsia="宋体"/>
          <w:b w:val="0"/>
          <w:sz w:val="21"/>
          <w:vertAlign w:val="superscript"/>
        </w:rPr>
        <w:t>+</w:t>
      </w:r>
      <w:r>
        <w:rPr>
          <w:rFonts w:ascii="Times New Roman" w:hAnsi="Times New Roman" w:eastAsia="宋体"/>
          <w:b w:val="0"/>
          <w:sz w:val="21"/>
        </w:rPr>
        <w:t>）于伤后 1～4 d 占优、M2（CD206</w:t>
      </w:r>
      <w:r>
        <w:rPr>
          <w:rFonts w:ascii="Times New Roman" w:hAnsi="Times New Roman" w:eastAsia="宋体"/>
          <w:b w:val="0"/>
          <w:sz w:val="21"/>
          <w:vertAlign w:val="superscript"/>
        </w:rPr>
        <w:t>+</w:t>
      </w:r>
      <w:r>
        <w:rPr>
          <w:rFonts w:ascii="Times New Roman" w:hAnsi="Times New Roman" w:eastAsia="宋体"/>
          <w:b w:val="0"/>
          <w:sz w:val="21"/>
        </w:rPr>
        <w:t>）自第 7 d 起接替[34]，2025 年综述给出的时程为 M1 峰值 0.5～2 d、M2 峰值 3.5～10 d[35]，时序分析亦表明损伤后细胞群组成呈可预测的连续重构[36]。此窗为修复过程中干预收益最大的时间点：转换一旦按期完成，后续修复可按序推进；一旦延迟，则进入慢性化轨道[37]。</w:t>
      </w:r>
    </w:p>
    <w:p>
      <w:pPr>
        <w:spacing w:after="60" w:line="360" w:lineRule="auto"/>
        <w:ind w:firstLine="420"/>
      </w:pPr>
      <w:r>
        <w:rPr>
          <w:rFonts w:ascii="Times New Roman" w:hAnsi="Times New Roman" w:eastAsia="宋体"/>
          <w:b/>
          <w:sz w:val="21"/>
        </w:rPr>
        <w:t>时窗三（1～2 w）M2 主导的增殖修复期。</w:t>
      </w:r>
      <w:r>
        <w:rPr>
          <w:rFonts w:ascii="Times New Roman" w:hAnsi="Times New Roman" w:eastAsia="宋体"/>
          <w:b w:val="0"/>
          <w:sz w:val="21"/>
        </w:rPr>
        <w:t xml:space="preserve"> M2 分泌 IL-10、TGF-β 及 VEGF、IGF-1、FGF 等生长因子，促进成纤维细胞增殖、胶原合成与血管新生，肌卫星细胞在巨噬细胞来源因子刺激下激活并分化为肌管[38]。电针干预大鼠腓肠肌钝挫伤的研究证实，调控极化可促进肌卫星细胞增殖分化并加速修复[17,18]，此为该时窗干预有效性的直接证据；人体骨骼肌再生中，不同活化状态的巨噬细胞亚群亦分别调控肌前体细胞的命运决定[39]。</w:t>
      </w:r>
    </w:p>
    <w:p>
      <w:pPr>
        <w:spacing w:after="60" w:line="360" w:lineRule="auto"/>
        <w:ind w:firstLine="420"/>
      </w:pPr>
      <w:r>
        <w:rPr>
          <w:rFonts w:ascii="Times New Roman" w:hAnsi="Times New Roman" w:eastAsia="宋体"/>
          <w:b/>
          <w:sz w:val="21"/>
        </w:rPr>
        <w:t>时窗四（&gt;2 w）基质重塑期。</w:t>
      </w:r>
      <w:r>
        <w:rPr>
          <w:rFonts w:ascii="Times New Roman" w:hAnsi="Times New Roman" w:eastAsia="宋体"/>
          <w:b w:val="0"/>
          <w:sz w:val="21"/>
        </w:rPr>
        <w:t xml:space="preserve"> 此期肉芽组织改建，Ⅲ型胶原被Ⅰ型胶原替代，瘢痕成熟，力学性能逐步恢复，上述过程依赖基质金属蛋白酶（MMPs）与其组织抑制因子（TIMPs）的动态平衡。巨噬细胞表型在此期仍沿时间轴演变，心脏损伤模型中已有逐日刻画[40]，其中 Trem2</w:t>
      </w:r>
      <w:r>
        <w:rPr>
          <w:rFonts w:ascii="Times New Roman" w:hAnsi="Times New Roman" w:eastAsia="宋体"/>
          <w:b w:val="0"/>
          <w:sz w:val="21"/>
          <w:vertAlign w:val="superscript"/>
        </w:rPr>
        <w:t>high</w:t>
      </w:r>
      <w:r>
        <w:rPr>
          <w:rFonts w:ascii="Times New Roman" w:hAnsi="Times New Roman" w:eastAsia="宋体"/>
          <w:b w:val="0"/>
          <w:sz w:val="21"/>
        </w:rPr>
        <w:t xml:space="preserve"> 亚群可经抑制成纤维细胞增殖而限制过度纤维化[41]。该时窗在 ASTI 领域几乎无中药干预证据。</w:t>
      </w:r>
    </w:p>
    <w:p>
      <w:pPr>
        <w:spacing w:before="160" w:after="100"/>
      </w:pPr>
      <w:r>
        <w:rPr>
          <w:rFonts w:ascii="Times New Roman" w:hAnsi="Times New Roman" w:eastAsia="黑体"/>
          <w:b/>
          <w:sz w:val="21"/>
        </w:rPr>
        <w:t>3.2 糖酵解向脂肪酸氧化的切换决定 M1→M2 的转换时点</w:t>
      </w:r>
    </w:p>
    <w:p>
      <w:pPr>
        <w:spacing w:after="60" w:line="360" w:lineRule="auto"/>
        <w:ind w:firstLine="420"/>
      </w:pPr>
      <w:r>
        <w:rPr>
          <w:rFonts w:ascii="Times New Roman" w:hAnsi="Times New Roman" w:eastAsia="宋体"/>
          <w:b w:val="0"/>
          <w:sz w:val="21"/>
        </w:rPr>
        <w:t>若要在单一机制轴上理解四个时窗的转换，最简约的候选是细胞能量代谢模式的切换。M1 极化以有氧糖酵解（Warburg 效应）增强为标志，该转换由 HIF-1α 上调驱动[41]；M2 极化则偏好完整的三羧酸循环与氧化磷酸化，以脂肪酸氧化（FAO）为主要燃料，藉此支撑持续的吞噬、分泌与修复功能[42,43]。AMPK 是该切换的关键节点，激活后抑制脂肪酸合成并上调 CPT1 促进 FAO，推动向 M2 转换[44]；mTORC1 与之拮抗，其激活促进糖酵解、驱动 M1 极化[45]。代谢中间产物与表观遗传修饰对这一切换具稳定作用，如琥珀酸稳定 HIF-1α、α-酮戊二酸经 Jmjd3 促 M2 基因表达、精氨酸代谢在 iNOS 与 Arg-1 间分流、乙酰辅酶 A 支撑 H3K27ac 等[46-50]，详见增强出版附加材料。</w:t>
      </w:r>
    </w:p>
    <w:p>
      <w:pPr>
        <w:spacing w:after="60" w:line="360" w:lineRule="auto"/>
        <w:ind w:firstLine="420"/>
      </w:pPr>
      <w:r>
        <w:rPr>
          <w:rFonts w:ascii="Times New Roman" w:hAnsi="Times New Roman" w:eastAsia="宋体"/>
          <w:b w:val="0"/>
          <w:sz w:val="21"/>
        </w:rPr>
        <w:t>上述代谢-表型耦联的时序关系已在骨骼肌损伤模型中获直接验证。Mounier 等[51]证实，巨噬细胞 AMPKα1 缺失可使 M1→M2 转换在炎症消退时点受阻，AMPKα1</w:t>
      </w:r>
      <w:r>
        <w:rPr>
          <w:rFonts w:ascii="Times New Roman" w:hAnsi="Times New Roman" w:eastAsia="宋体"/>
          <w:b w:val="0"/>
          <w:sz w:val="21"/>
          <w:vertAlign w:val="superscript"/>
        </w:rPr>
        <w:t>-</w:t>
      </w:r>
      <w:r>
        <w:rPr>
          <w:rFonts w:ascii="Times New Roman" w:hAnsi="Times New Roman" w:eastAsia="宋体"/>
          <w:b w:val="0"/>
          <w:sz w:val="21"/>
        </w:rPr>
        <w:t>/</w:t>
      </w:r>
      <w:r>
        <w:rPr>
          <w:rFonts w:ascii="Times New Roman" w:hAnsi="Times New Roman" w:eastAsia="宋体"/>
          <w:b w:val="0"/>
          <w:sz w:val="21"/>
          <w:vertAlign w:val="superscript"/>
        </w:rPr>
        <w:t>-</w:t>
      </w:r>
      <w:r>
        <w:rPr>
          <w:rFonts w:ascii="Times New Roman" w:hAnsi="Times New Roman" w:eastAsia="宋体"/>
          <w:b w:val="0"/>
          <w:sz w:val="21"/>
        </w:rPr>
        <w:t xml:space="preserve"> 巨噬细胞不能获得 M2 表型与功能，由胞葬所触发的表型转换显著受损；巨噬细胞特异性敲除与骨髓移植回补实验进一步确认其为肌肉再生所必需。Juban 与 Chazaud[52]的动力学分析显示，巨噬细胞的代谢改变先于并伴随炎症消退发生，其向三羧酸循环的转换在表型切换时点最为显著。多模型证据支持这一关系：损伤后第 3 天末巨噬细胞已转为抗炎/再生表型并伴糖酵解向氧化磷酸化切换[53]，急性心肌梗死后 3～7 d 的消退期亦以 M1→M2 转换为核心事件[54]，巨噬细胞亚群的时相动力学[55]与代谢重塑对极化的调控[56]亦从不同侧面提供佐证；近年综述进一步将这种顺序性表型转换概括为肌肉再生的核心免疫学事件，其失调直接导致修复失败或病理性纤维化[57-59]。</w:t>
      </w:r>
    </w:p>
    <w:p>
      <w:pPr>
        <w:spacing w:after="60" w:line="360" w:lineRule="auto"/>
        <w:ind w:firstLine="420"/>
      </w:pPr>
      <w:r>
        <w:rPr>
          <w:rFonts w:ascii="Times New Roman" w:hAnsi="Times New Roman" w:eastAsia="宋体"/>
          <w:b w:val="0"/>
          <w:sz w:val="21"/>
        </w:rPr>
        <w:t>归结为一句判断：M1→M2 转换在分子层面有一个可识别的"开关时点"，即糖酵解通量下降与 FAO/OXPHOS 通量上升的交叉点。该时点受 HIF-1α 稳定性、AMPK/mTORC1 平衡与乙酰辅酶 A 供给共同决定，因而是中药干预最具可操作性的环节。需指出，黄芩苷经 Ca</w:t>
      </w:r>
      <w:r>
        <w:rPr>
          <w:rFonts w:ascii="Times New Roman" w:hAnsi="Times New Roman" w:eastAsia="宋体"/>
          <w:b w:val="0"/>
          <w:sz w:val="21"/>
          <w:vertAlign w:val="superscript"/>
        </w:rPr>
        <w:t>2</w:t>
      </w:r>
      <w:r>
        <w:rPr>
          <w:rFonts w:ascii="Times New Roman" w:hAnsi="Times New Roman" w:eastAsia="宋体"/>
          <w:b w:val="0"/>
          <w:sz w:val="21"/>
          <w:vertAlign w:val="superscript"/>
        </w:rPr>
        <w:t>+</w:t>
      </w:r>
      <w:r>
        <w:rPr>
          <w:rFonts w:ascii="Times New Roman" w:hAnsi="Times New Roman" w:eastAsia="宋体"/>
          <w:b w:val="0"/>
          <w:sz w:val="21"/>
        </w:rPr>
        <w:t>/CaMKKβ 激活 AMPK 的作用机制[60]，与 [51] 所证实的 AMPKα1 体内必需性同源，故其所作用者并非孤立的药理靶点，实为已获体内实验证实的关键调控节点。</w:t>
      </w:r>
    </w:p>
    <w:p>
      <w:pPr>
        <w:spacing w:before="160" w:after="100"/>
      </w:pPr>
      <w:r>
        <w:rPr>
          <w:rFonts w:ascii="Times New Roman" w:hAnsi="Times New Roman" w:eastAsia="黑体"/>
          <w:b/>
          <w:sz w:val="21"/>
        </w:rPr>
        <w:t>3.3 时相失控：M1 持续与转换延迟导向慢性化与纤维化</w:t>
      </w:r>
    </w:p>
    <w:p>
      <w:pPr>
        <w:spacing w:after="60" w:line="360" w:lineRule="auto"/>
        <w:ind w:firstLine="420"/>
      </w:pPr>
      <w:r>
        <w:rPr>
          <w:rFonts w:ascii="Times New Roman" w:hAnsi="Times New Roman" w:eastAsia="宋体"/>
          <w:b w:val="0"/>
          <w:sz w:val="21"/>
        </w:rPr>
        <w:t>当上述转换不能按期发生时，ASTI 进入不良结局轨道，其表现可分为两端。</w:t>
      </w:r>
    </w:p>
    <w:p>
      <w:pPr>
        <w:spacing w:after="60" w:line="360" w:lineRule="auto"/>
        <w:ind w:firstLine="420"/>
      </w:pPr>
      <w:r>
        <w:rPr>
          <w:rFonts w:ascii="Times New Roman" w:hAnsi="Times New Roman" w:eastAsia="宋体"/>
          <w:b w:val="0"/>
          <w:sz w:val="21"/>
        </w:rPr>
        <w:t>一端是 M1 持续活化或转换延迟，致炎症无法消退，临床表现为损伤区持续疼痛、肿胀迁延，即转向慢性软组织损伤[37]。单细胞证据颇具启发：Gpnmb</w:t>
      </w:r>
      <w:r>
        <w:rPr>
          <w:rFonts w:ascii="Times New Roman" w:hAnsi="Times New Roman" w:eastAsia="宋体"/>
          <w:b w:val="0"/>
          <w:sz w:val="21"/>
          <w:vertAlign w:val="superscript"/>
        </w:rPr>
        <w:t>+</w:t>
      </w:r>
      <w:r>
        <w:rPr>
          <w:rFonts w:ascii="Times New Roman" w:hAnsi="Times New Roman" w:eastAsia="宋体"/>
          <w:b w:val="0"/>
          <w:sz w:val="21"/>
        </w:rPr>
        <w:t>Spp1</w:t>
      </w:r>
      <w:r>
        <w:rPr>
          <w:rFonts w:ascii="Times New Roman" w:hAnsi="Times New Roman" w:eastAsia="宋体"/>
          <w:b w:val="0"/>
          <w:sz w:val="21"/>
          <w:vertAlign w:val="superscript"/>
        </w:rPr>
        <w:t>+</w:t>
      </w:r>
      <w:r>
        <w:rPr>
          <w:rFonts w:ascii="Times New Roman" w:hAnsi="Times New Roman" w:eastAsia="宋体"/>
          <w:b w:val="0"/>
          <w:sz w:val="21"/>
        </w:rPr>
        <w:t>瘢痕相关巨噬细胞（SAMs）在急性损伤中仅短暂存在，在慢性损伤中却持续激活，单核细胞亦呈"急性短暂浸润、慢性持续存在"的差异[61]，提示急慢性损伤的根本差异可能取决于特定亚群消失的时机，而非细胞类型本身。</w:t>
      </w:r>
    </w:p>
    <w:p>
      <w:pPr>
        <w:spacing w:after="60" w:line="360" w:lineRule="auto"/>
        <w:ind w:firstLine="420"/>
      </w:pPr>
      <w:r>
        <w:rPr>
          <w:rFonts w:ascii="Times New Roman" w:hAnsi="Times New Roman" w:eastAsia="宋体"/>
          <w:b w:val="0"/>
          <w:sz w:val="21"/>
        </w:rPr>
        <w:t>另一端是 M2 过度极化或持续激活，导致修复越过"修复"而滑向"纤维化"：TGF-β 的过量与持续释放促进肌成纤维细胞过度活化与胶原过度沉积，最终形成瘢痕与功能障碍。前述 Trem2</w:t>
      </w:r>
      <w:r>
        <w:rPr>
          <w:rFonts w:ascii="Times New Roman" w:hAnsi="Times New Roman" w:eastAsia="宋体"/>
          <w:b w:val="0"/>
          <w:sz w:val="21"/>
          <w:vertAlign w:val="superscript"/>
        </w:rPr>
        <w:t>high</w:t>
      </w:r>
      <w:r>
        <w:rPr>
          <w:rFonts w:ascii="Times New Roman" w:hAnsi="Times New Roman" w:eastAsia="宋体"/>
          <w:b w:val="0"/>
          <w:sz w:val="21"/>
        </w:rPr>
        <w:t xml:space="preserve"> 巨噬细胞的负向调控作用[41]说明，M2 主导期同样存在需要被约束的对象。</w:t>
      </w:r>
    </w:p>
    <w:p>
      <w:pPr>
        <w:spacing w:after="60" w:line="360" w:lineRule="auto"/>
        <w:ind w:firstLine="420"/>
      </w:pPr>
      <w:r>
        <w:rPr>
          <w:rFonts w:ascii="Times New Roman" w:hAnsi="Times New Roman" w:eastAsia="宋体"/>
          <w:b w:val="0"/>
          <w:sz w:val="21"/>
        </w:rPr>
        <w:t>两端共同的启示是：巨噬细胞极化的治疗目标为转换的按时发生与及时结束，而非某一表型的增减。这一表述直接指向中医"和"法的思想内核，也构成本文第 4 章的论证起点。</w:t>
      </w:r>
    </w:p>
    <w:p>
      <w:pPr>
        <w:spacing w:before="200" w:after="100"/>
      </w:pPr>
      <w:r>
        <w:rPr>
          <w:rFonts w:ascii="Times New Roman" w:hAnsi="Times New Roman" w:eastAsia="黑体"/>
          <w:b/>
          <w:sz w:val="24"/>
        </w:rPr>
        <w:t>4 巨噬细胞时相极化是"消—和—补"三法的生物学基础</w:t>
      </w:r>
    </w:p>
    <w:p>
      <w:pPr>
        <w:spacing w:after="60" w:line="360" w:lineRule="auto"/>
        <w:ind w:firstLine="420"/>
      </w:pPr>
      <w:r>
        <w:rPr>
          <w:rFonts w:ascii="Times New Roman" w:hAnsi="Times New Roman" w:eastAsia="宋体"/>
          <w:b w:val="0"/>
          <w:sz w:val="21"/>
        </w:rPr>
        <w:t>需先说明本章的论述性质。第 2 章所述三期治法内涵与第 3 章所述免疫时相证据分属中医学与现代免疫学两套独立体系，本章建立的"三法—免疫落点"对应关系系基于上述两章证据所作的理论建构，而非既有文献的直接结论。故以下各节不为对应关系本身寻找出处，而着力说明既有证据与各落点的相容程度（4.1～4.3）、该建构可给出的可检验推论（各节末），以及筋伤刻度与免疫时相究竟在何处对接（4.4）。</w:t>
      </w:r>
    </w:p>
    <w:p>
      <w:pPr>
        <w:spacing w:before="160" w:after="100"/>
      </w:pPr>
      <w:r>
        <w:rPr>
          <w:rFonts w:ascii="Times New Roman" w:hAnsi="Times New Roman" w:eastAsia="黑体"/>
          <w:b/>
          <w:sz w:val="21"/>
        </w:rPr>
        <w:t>4.1 早期"消"法对应 M1 主导的清创与促消退</w:t>
      </w:r>
    </w:p>
    <w:p>
      <w:pPr>
        <w:spacing w:after="60" w:line="360" w:lineRule="auto"/>
        <w:ind w:firstLine="420"/>
      </w:pPr>
      <w:r>
        <w:rPr>
          <w:rFonts w:ascii="Times New Roman" w:hAnsi="Times New Roman" w:eastAsia="宋体"/>
          <w:b w:val="0"/>
          <w:sz w:val="21"/>
        </w:rPr>
        <w:t>消法在临床上处理的是"瘀"，其免疫学对应物是损伤初期的清创与炎症消退程序。这一对应有两层具体含义。</w:t>
      </w:r>
    </w:p>
    <w:p>
      <w:pPr>
        <w:spacing w:after="60" w:line="360" w:lineRule="auto"/>
        <w:ind w:firstLine="420"/>
      </w:pPr>
      <w:r>
        <w:rPr>
          <w:rFonts w:ascii="Times New Roman" w:hAnsi="Times New Roman" w:eastAsia="宋体"/>
          <w:b w:val="0"/>
          <w:sz w:val="21"/>
        </w:rPr>
        <w:t>其一，消法的作用对象为"瘀滞状态"而非"炎症强度"。 祛瘀的前提是瘀滞存在，正如 M1 的清创功能在时窗一（0～72 h）不可或缺。这一判断在骨骼肌损伤领域已获实验支持：Chazaud[62]系统梳理该领域后指出，"削弱炎症阶段可能不利于肌肉再生，因此与其对抗炎症，不如让炎症发生并如期消退"。实验层面，COX-2 通路为骨骼肌再生早期所必需，COX-1 抑制剂则无此效应[63]；COX-2 选择性抑制剂 NS-398 可减少中性粒细胞与巨噬细胞浸润、升高 TGF-β1，延迟愈合并加重纤维化[64]；冰敷虽降低早期 M1 聚集与 TNF-α 表达，却推迟向修复表型的转换[65]。二者均可经干扰巨噬细胞浸润与转换而损害肌肉再生、促进胶原沉积[66]，此即第 1 章所述"物理疗法存在时效性限制"的分子解释，亦为 NSAIDs 争议[2]的机制性注脚。消法"衰其大半而止"的谨慎，与免疫学"促消退而非抗炎"的当代主张在此高度吻合。</w:t>
      </w:r>
    </w:p>
    <w:p>
      <w:pPr>
        <w:spacing w:after="60" w:line="360" w:lineRule="auto"/>
        <w:ind w:firstLine="420"/>
      </w:pPr>
      <w:r>
        <w:rPr>
          <w:rFonts w:ascii="Times New Roman" w:hAnsi="Times New Roman" w:eastAsia="宋体"/>
          <w:b w:val="0"/>
          <w:sz w:val="21"/>
        </w:rPr>
        <w:t>其二，消法的实际给药窗往往落在 M1→M2 的转换窗上。 临床所谓"初期"（用药刻度 1～2 w）远长于免疫学的 M1 高峰（24～72 h），多数患者就诊并开始用药时，病程已越过 M1 高峰而处于转换窗前段。需要严格区分的是，这一事实所能确立的只是消法在现实中被施用的时间位置，并不能据以推断其分子效应即为"加速消退"——给药时机的现实约束与药物的作用机制是两个独立问题。由此可提出一项待检验的推测：若消法方药的疗效主要产生于转换窗，则其分子效应应表现为提前转换时点而非压低 M1 峰值；临床上清热活血类方药常见"消肿快、疼痛缓解快"而炎症指标未见持续压低，与该推测相容，但此为间接观察，尚无直接证据，其检验依赖推论 1 所述的平行时点设计。</w:t>
      </w:r>
    </w:p>
    <w:p>
      <w:pPr>
        <w:spacing w:before="120" w:after="120" w:line="336" w:lineRule="auto"/>
        <w:ind w:left="425" w:right="425"/>
      </w:pPr>
      <w:r>
        <w:rPr>
          <w:rFonts w:ascii="Times New Roman" w:hAnsi="Times New Roman" w:eastAsia="宋体"/>
          <w:b/>
          <w:color w:val="333333"/>
          <w:sz w:val="20"/>
        </w:rPr>
        <w:t>可检验推论 1：</w:t>
      </w:r>
      <w:r>
        <w:rPr>
          <w:rFonts w:ascii="Times New Roman" w:hAnsi="Times New Roman" w:eastAsia="宋体"/>
          <w:b w:val="0"/>
          <w:color w:val="333333"/>
          <w:sz w:val="20"/>
        </w:rPr>
        <w:t xml:space="preserve"> 若上述判断成立，则同一消法方药在损伤后 0～24 h 给药与 3～7 d 给药，其巨噬细胞表型效应不应相同：前者应表现为降低 M1 峰值，后者应表现为提前转换时点。该推论的设计原型已经存在，Cezar 等[9]即以"同一疗法、仅改变释放时点"的三臂设计证实炎症高峰期给药优于即刻与消退后给药，本推论所主张者即是将这一设计移植到中药干预。针灸领域虽有带时间分层的原位证据[17,18]，其变量为取材时点与干预时长而非起始时点；中药研究则普遍未区分给药时点，故此推论尚无直接检验。</w:t>
      </w:r>
    </w:p>
    <w:p>
      <w:pPr>
        <w:spacing w:before="160" w:after="100"/>
      </w:pPr>
      <w:r>
        <w:rPr>
          <w:rFonts w:ascii="Times New Roman" w:hAnsi="Times New Roman" w:eastAsia="黑体"/>
          <w:b/>
          <w:sz w:val="21"/>
        </w:rPr>
        <w:t>4.2 中期"和"法对应 M1→M2 转换窗的主动促成</w:t>
      </w:r>
    </w:p>
    <w:p>
      <w:pPr>
        <w:spacing w:after="60" w:line="360" w:lineRule="auto"/>
        <w:ind w:firstLine="420"/>
      </w:pPr>
      <w:r>
        <w:rPr>
          <w:rFonts w:ascii="Times New Roman" w:hAnsi="Times New Roman" w:eastAsia="宋体"/>
          <w:b w:val="0"/>
          <w:sz w:val="21"/>
        </w:rPr>
        <w:t>和法是三法中唯一以"时间点"为目标的治法。它既不压制 M1，也不简单促进 M2，而使两者关系重新协调，与转换窗的免疫学需求正相契合。"和"所对应者为转换的速率与准时性，而非表型的比例。</w:t>
      </w:r>
    </w:p>
    <w:p>
      <w:pPr>
        <w:spacing w:after="60" w:line="360" w:lineRule="auto"/>
        <w:ind w:firstLine="420"/>
      </w:pPr>
      <w:r>
        <w:rPr>
          <w:rFonts w:ascii="Times New Roman" w:hAnsi="Times New Roman" w:eastAsia="宋体"/>
          <w:b w:val="0"/>
          <w:sz w:val="21"/>
        </w:rPr>
        <w:t>现有中药研究中，已有若干机制可被明确归入"促成转换"这一类：</w:t>
      </w:r>
    </w:p>
    <w:p>
      <w:pPr>
        <w:spacing w:after="60" w:line="360" w:lineRule="auto"/>
        <w:ind w:firstLine="420"/>
      </w:pPr>
      <w:r>
        <w:rPr>
          <w:rFonts w:ascii="Times New Roman" w:hAnsi="Times New Roman" w:eastAsia="宋体"/>
          <w:b w:val="0"/>
          <w:sz w:val="21"/>
        </w:rPr>
        <w:t>黄芪甲苷 IV（astragaloside IV, AS-IV）既可抑制 STAT1 并激活 STAT3 以实现表型转换[67]，亦可抑制 TLR4/MyD88/NF-κB 信号减轻促炎驱动[68]，其特征在于同时降低 M1 驱动信号与提升 M2 驱动信号，而非单纯压制促炎一侧。三七皂苷 R1 抑制 JAK1/STAT3 通路后，除降低 CD86 表达与 TNF-α、IL-6 分泌外，还表现出对 M2 的"微调"效应，在促进 CD206 表达的同时抑制过度分泌，提示其作用在于稳定与优化 M2 功能状态[69]。薯蓣皂苷经 mTORC2/PPARγ 促进 FAO 以支撑 M2 极化，人参皂苷 Rb1/Rg1 则经 STAT6 通路促进 M2 极化[70]。</w:t>
      </w:r>
    </w:p>
    <w:p>
      <w:pPr>
        <w:spacing w:after="60" w:line="360" w:lineRule="auto"/>
        <w:ind w:firstLine="420"/>
      </w:pPr>
      <w:r>
        <w:rPr>
          <w:rFonts w:ascii="Times New Roman" w:hAnsi="Times New Roman" w:eastAsia="宋体"/>
          <w:b w:val="0"/>
          <w:sz w:val="21"/>
        </w:rPr>
        <w:t>最能体现"和"的分子实例是小檗碱（berberine, BBR）。Cheng 等[71]证实，BBR 通过激活 AMPK、抑制 mTORC1/HIF-1α 通路，切换 M1 巨噬细胞的糖酵解重编程，从而恢复 M1/M2 极化平衡并改善胶原诱导性关节炎；Jeong 等[72]更早确立了 AMPK 在该机制中的必要性：BBR 抗炎效应可被 AMPK 抑制剂 Compound C 或显性负性 AMPK 完全取消。BBR 所作用的正是 3.2 节所指的"开关时点"：其着力处为代谢模式而非某一表型，由此改变转换的时间安排。</w:t>
      </w:r>
    </w:p>
    <w:p>
      <w:pPr>
        <w:spacing w:after="60" w:line="360" w:lineRule="auto"/>
        <w:ind w:firstLine="420"/>
      </w:pPr>
      <w:r>
        <w:rPr>
          <w:rFonts w:ascii="Times New Roman" w:hAnsi="Times New Roman" w:eastAsia="宋体"/>
          <w:b w:val="0"/>
          <w:sz w:val="21"/>
        </w:rPr>
        <w:t>这一节点与"和"的治法定位之契合，可由 3.2 节的体内证据进一步确认：巨噬细胞 AMPKα1 缺失不改变炎症的起始，却使消退时点的表型转换无法完成[51]，正合和法"不治寒热、而调其不和"之义，即不改变炎症强度，而决定炎症能否按期转入修复。据此，"和法类方药作用于转换窗"并非比附：若某类中药的作用机制集中于 AMPK/mTORC1 与代谢模式切换，则其在 M1 高峰给药与在转换窗给药的效应本应不同，且后者收益更大。</w:t>
      </w:r>
    </w:p>
    <w:p>
      <w:pPr>
        <w:spacing w:before="120" w:after="120" w:line="336" w:lineRule="auto"/>
        <w:ind w:left="425" w:right="425"/>
      </w:pPr>
      <w:r>
        <w:rPr>
          <w:rFonts w:ascii="Times New Roman" w:hAnsi="Times New Roman" w:eastAsia="宋体"/>
          <w:b/>
          <w:color w:val="333333"/>
          <w:sz w:val="20"/>
        </w:rPr>
        <w:t>可检验推论 2：</w:t>
      </w:r>
      <w:r>
        <w:rPr>
          <w:rFonts w:ascii="Times New Roman" w:hAnsi="Times New Roman" w:eastAsia="宋体"/>
          <w:b w:val="0"/>
          <w:color w:val="333333"/>
          <w:sz w:val="20"/>
        </w:rPr>
        <w:t xml:space="preserve"> 小檗碱、黄芪甲苷 IV 等以 AMPK-代谢切换为机制的中药成分，若在损伤后第 3～7 天（转换窗）给药，其缩短修复周期、改善再生质量的效应应优于在 0～24 h 给药；反之，若两类给药时点效应无差异，则本节的对应关系不成立。</w:t>
      </w:r>
    </w:p>
    <w:p>
      <w:pPr>
        <w:spacing w:before="160" w:after="100"/>
      </w:pPr>
      <w:r>
        <w:rPr>
          <w:rFonts w:ascii="Times New Roman" w:hAnsi="Times New Roman" w:eastAsia="黑体"/>
          <w:b/>
          <w:sz w:val="21"/>
        </w:rPr>
        <w:t>4.3 后期"补"法对应 M2 主导的基质重塑与防纤维化</w:t>
      </w:r>
    </w:p>
    <w:p>
      <w:pPr>
        <w:spacing w:after="60" w:line="360" w:lineRule="auto"/>
        <w:ind w:firstLine="420"/>
      </w:pPr>
      <w:r>
        <w:rPr>
          <w:rFonts w:ascii="Times New Roman" w:hAnsi="Times New Roman" w:eastAsia="宋体"/>
          <w:b w:val="0"/>
          <w:sz w:val="21"/>
        </w:rPr>
        <w:t>补法对应的是时窗三末至时窗四。其免疫学落点有两个，第二个常被忽略。</w:t>
      </w:r>
    </w:p>
    <w:p>
      <w:pPr>
        <w:spacing w:after="60" w:line="360" w:lineRule="auto"/>
        <w:ind w:firstLine="420"/>
      </w:pPr>
      <w:r>
        <w:rPr>
          <w:rFonts w:ascii="Times New Roman" w:hAnsi="Times New Roman" w:eastAsia="宋体"/>
          <w:b/>
          <w:sz w:val="21"/>
        </w:rPr>
        <w:t>其一是维持 M2 的功能质量。</w:t>
      </w:r>
      <w:r>
        <w:rPr>
          <w:rFonts w:ascii="Times New Roman" w:hAnsi="Times New Roman" w:eastAsia="宋体"/>
          <w:b w:val="0"/>
          <w:sz w:val="21"/>
        </w:rPr>
        <w:t xml:space="preserve"> 修复期的关键在于 M2 能否持续输出足量且配比恰当的 IL-10、TGF-β、VEGF、IGF-1；补气养血类药物改善微循环、提供合成底物的作用，于此可获分子层面的解释。</w:t>
      </w:r>
    </w:p>
    <w:p>
      <w:pPr>
        <w:spacing w:after="60" w:line="360" w:lineRule="auto"/>
        <w:ind w:firstLine="420"/>
      </w:pPr>
      <w:r>
        <w:rPr>
          <w:rFonts w:ascii="Times New Roman" w:hAnsi="Times New Roman" w:eastAsia="宋体"/>
          <w:b/>
          <w:sz w:val="21"/>
        </w:rPr>
        <w:t>其二是约束 M2，防止"补而致滞"。</w:t>
      </w:r>
      <w:r>
        <w:rPr>
          <w:rFonts w:ascii="Times New Roman" w:hAnsi="Times New Roman" w:eastAsia="宋体"/>
          <w:b w:val="0"/>
          <w:sz w:val="21"/>
        </w:rPr>
        <w:t xml:space="preserve"> 中医强调"补而不滞"，其免疫学对应物正是 3.3 节所述的纤维化风险：M2 持续活化经 TGF-β 驱动肌成纤维细胞过度活化，使修复滑向瘢痕化，而 Trem2</w:t>
      </w:r>
      <w:r>
        <w:rPr>
          <w:rFonts w:ascii="Times New Roman" w:hAnsi="Times New Roman" w:eastAsia="宋体"/>
          <w:b w:val="0"/>
          <w:sz w:val="21"/>
          <w:vertAlign w:val="superscript"/>
        </w:rPr>
        <w:t>high</w:t>
      </w:r>
      <w:r>
        <w:rPr>
          <w:rFonts w:ascii="Times New Roman" w:hAnsi="Times New Roman" w:eastAsia="宋体"/>
          <w:b w:val="0"/>
          <w:sz w:val="21"/>
        </w:rPr>
        <w:t xml:space="preserve"> 巨噬细胞对成纤维细胞增殖的沉默作用[46]可视为该约束的天然实现形式。"补"的目标在于使基质重塑按 MMPs/TIMPs 平衡有序完成，而非单纯增加 M2。</w:t>
      </w:r>
    </w:p>
    <w:p>
      <w:pPr>
        <w:spacing w:after="60" w:line="360" w:lineRule="auto"/>
        <w:ind w:firstLine="420"/>
      </w:pPr>
      <w:r>
        <w:rPr>
          <w:rFonts w:ascii="Times New Roman" w:hAnsi="Times New Roman" w:eastAsia="宋体"/>
          <w:b w:val="0"/>
          <w:sz w:val="21"/>
        </w:rPr>
        <w:t>需如实指出，该时窗的中药干预证据在三法中最为薄弱，现有者均属跨疾病外推（如真武汤经 TLR4/NF-κB 抑制 M1 极化、减轻心肌纤维化[73]，阿魏酸下调 CD38、恢复 CD206 并减轻肺纤维化[74]），尚无 ASTI 原位模型证据。而"补而不过"的约束在临床上并非空谈：NSAIDs 与冰敷最终导向纤维化，其下游通路正是 TGF-β1 升高与胶原过度沉积[64,66]，与"补之太过则气血壅滞"的病机后果在功能上同一。</w:t>
      </w:r>
    </w:p>
    <w:p>
      <w:pPr>
        <w:spacing w:before="120" w:after="120" w:line="336" w:lineRule="auto"/>
        <w:ind w:left="425" w:right="425"/>
      </w:pPr>
      <w:r>
        <w:rPr>
          <w:rFonts w:ascii="Times New Roman" w:hAnsi="Times New Roman" w:eastAsia="宋体"/>
          <w:b/>
          <w:color w:val="333333"/>
          <w:sz w:val="20"/>
        </w:rPr>
        <w:t>可检验推论 3：</w:t>
      </w:r>
      <w:r>
        <w:rPr>
          <w:rFonts w:ascii="Times New Roman" w:hAnsi="Times New Roman" w:eastAsia="宋体"/>
          <w:b w:val="0"/>
          <w:color w:val="333333"/>
          <w:sz w:val="20"/>
        </w:rPr>
        <w:t xml:space="preserve"> 若"补"的正确目标是约束 M2 而非放大 M2，则后期干预的疗效终点不应只看 M2 标志物表达水平，而应同时观察 TGF-β1 与胶原沉积（Ⅰ/Ⅲ 型胶原比值、纤维化面积）与力学性能恢复；单纯提高 CD206</w:t>
      </w:r>
      <w:r>
        <w:rPr>
          <w:rFonts w:ascii="Times New Roman" w:hAnsi="Times New Roman" w:eastAsia="宋体"/>
          <w:b w:val="0"/>
          <w:color w:val="333333"/>
          <w:sz w:val="20"/>
          <w:vertAlign w:val="superscript"/>
        </w:rPr>
        <w:t>+</w:t>
      </w:r>
      <w:r>
        <w:rPr>
          <w:rFonts w:ascii="Times New Roman" w:hAnsi="Times New Roman" w:eastAsia="宋体"/>
          <w:b w:val="0"/>
          <w:color w:val="333333"/>
          <w:sz w:val="20"/>
        </w:rPr>
        <w:t xml:space="preserve"> 细胞比例而不改善力学终点的干预，应判定为无效甚至有害。</w:t>
      </w:r>
    </w:p>
    <w:p>
      <w:pPr>
        <w:spacing w:before="160" w:after="100"/>
      </w:pPr>
      <w:r>
        <w:rPr>
          <w:rFonts w:ascii="Times New Roman" w:hAnsi="Times New Roman" w:eastAsia="黑体"/>
          <w:b/>
          <w:sz w:val="21"/>
        </w:rPr>
        <w:t>4.4 时间刻度的再校准：分期刻度的演进与免疫时相的未对接</w:t>
      </w:r>
    </w:p>
    <w:p>
      <w:pPr>
        <w:spacing w:after="60" w:line="360" w:lineRule="auto"/>
        <w:ind w:firstLine="420"/>
      </w:pPr>
      <w:r>
        <w:rPr>
          <w:rFonts w:ascii="Times New Roman" w:hAnsi="Times New Roman" w:eastAsia="宋体"/>
          <w:b w:val="0"/>
          <w:sz w:val="21"/>
        </w:rPr>
        <w:t>前文分别建立了三法的免疫学落点，但一个关键问题尚未回答：三期治法的时间刻度与免疫时相的刻度能否对接。</w:t>
      </w:r>
    </w:p>
    <w:p>
      <w:pPr>
        <w:spacing w:after="60" w:line="360" w:lineRule="auto"/>
        <w:ind w:firstLine="420"/>
      </w:pPr>
      <w:r>
        <w:rPr>
          <w:rFonts w:ascii="Times New Roman" w:hAnsi="Times New Roman" w:eastAsia="宋体"/>
          <w:b w:val="0"/>
          <w:sz w:val="21"/>
        </w:rPr>
        <w:t>答案是肯定的，且所需刻度筋伤领域本就给出。现行文献中实并存两套时间刻度：一为组织修复进程本身的分期（以天计[75,76]），二为中药内治沿用的三期用药分期（以周计[7]）；与免疫时相吻合者为前者，而中药给药框架长期承载的是后者。</w:t>
      </w:r>
    </w:p>
    <w:p>
      <w:pPr>
        <w:spacing w:after="60" w:line="360" w:lineRule="auto"/>
        <w:ind w:firstLine="420"/>
      </w:pPr>
      <w:r>
        <w:rPr>
          <w:rFonts w:ascii="Times New Roman" w:hAnsi="Times New Roman" w:eastAsia="宋体"/>
          <w:b/>
          <w:sz w:val="21"/>
        </w:rPr>
        <w:t>筋伤自身的修复进程。</w:t>
      </w:r>
      <w:r>
        <w:rPr>
          <w:rFonts w:ascii="Times New Roman" w:hAnsi="Times New Roman" w:eastAsia="宋体"/>
          <w:b w:val="0"/>
          <w:sz w:val="21"/>
        </w:rPr>
        <w:t xml:space="preserve"> 急性软组织损伤的修复进程在现行临床共识中已按天数刻度成文。《急性闭合性软组织损伤诊疗与疼痛管理专家共识》（2021）将其病理生理过程分为三期：炎症期"受伤后 24 h 内开始……持续约 72 h"，增殖期"通常在受伤后 3 d 开始持续 15 d，更复杂的组织愈合可推迟到 6 周"，重塑期"通常在伤后 6～12 周"，并指出各期"变化是渐进的和重叠的……并非截然分开"[76]。《急性外侧踝关节扭伤非手术治疗专家共识（2025 版）》与之一致，分为急性炎症期（3～5 d）、组织再生机化期（2～4 周）与功能结构重塑期（7 周至 1 年），其急性炎症期的病理特征即"大量炎性细胞（如中性粒细胞和巨噬细胞）聚集"[75]。</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免疫时相（第 3 章）</w:t>
            </w:r>
          </w:p>
        </w:tc>
        <w:tc>
          <w:tcPr>
            <w:tcW w:type="dxa" w:w="2351"/>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筋伤修复进程刻度[76,75]</w:t>
            </w:r>
          </w:p>
        </w:tc>
        <w:tc>
          <w:tcPr>
            <w:tcW w:type="dxa" w:w="2351"/>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中药三期用药分期（参照）[7]</w:t>
            </w:r>
          </w:p>
        </w:tc>
        <w:tc>
          <w:tcPr>
            <w:tcW w:type="dxa" w:w="2351"/>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筋伤域专门分期（2024 共识）[77]</w:t>
            </w:r>
          </w:p>
        </w:tc>
      </w:tr>
      <w:tr>
        <w:tc>
          <w:tcPr>
            <w:tcW w:type="dxa" w:w="2351"/>
            <w:tcBorders>
              <w:top w:val="nil"/>
              <w:bottom w:val="nil"/>
              <w:left w:val="nil"/>
              <w:right w:val="nil"/>
            </w:tcBorders>
          </w:tcPr>
          <w:p>
            <w:pPr>
              <w:spacing w:before="40" w:after="40"/>
            </w:pPr>
            <w:r>
              <w:rPr>
                <w:rFonts w:ascii="Times New Roman" w:hAnsi="Times New Roman" w:eastAsia="宋体"/>
                <w:b w:val="0"/>
                <w:sz w:val="18"/>
              </w:rPr>
              <w:t>M1 主导 0～72 h</w:t>
            </w:r>
          </w:p>
        </w:tc>
        <w:tc>
          <w:tcPr>
            <w:tcW w:type="dxa" w:w="2351"/>
            <w:tcBorders>
              <w:top w:val="nil"/>
              <w:bottom w:val="nil"/>
              <w:left w:val="nil"/>
              <w:right w:val="nil"/>
            </w:tcBorders>
          </w:tcPr>
          <w:p>
            <w:pPr>
              <w:spacing w:before="40" w:after="40"/>
            </w:pPr>
            <w:r>
              <w:rPr>
                <w:rFonts w:ascii="Times New Roman" w:hAnsi="Times New Roman" w:eastAsia="宋体"/>
                <w:b w:val="0"/>
                <w:sz w:val="18"/>
              </w:rPr>
              <w:t>炎症期：伤后 24 h 内开始，</w:t>
            </w:r>
            <w:r>
              <w:rPr>
                <w:rFonts w:ascii="Times New Roman" w:hAnsi="Times New Roman" w:eastAsia="宋体"/>
                <w:b/>
                <w:sz w:val="18"/>
              </w:rPr>
              <w:t>持续约 72 h</w:t>
            </w:r>
            <w:r>
              <w:rPr>
                <w:rFonts w:ascii="Times New Roman" w:hAnsi="Times New Roman" w:eastAsia="宋体"/>
                <w:b w:val="0"/>
                <w:sz w:val="18"/>
              </w:rPr>
              <w:t xml:space="preserve">[76]；急性炎症期 </w:t>
            </w:r>
            <w:r>
              <w:rPr>
                <w:rFonts w:ascii="Times New Roman" w:hAnsi="Times New Roman" w:eastAsia="宋体"/>
                <w:b/>
                <w:sz w:val="18"/>
              </w:rPr>
              <w:t>3～5 d</w:t>
            </w:r>
            <w:r>
              <w:rPr>
                <w:rFonts w:ascii="Times New Roman" w:hAnsi="Times New Roman" w:eastAsia="宋体"/>
                <w:b w:val="0"/>
                <w:sz w:val="18"/>
              </w:rPr>
              <w:t>[75]</w:t>
            </w:r>
          </w:p>
        </w:tc>
        <w:tc>
          <w:tcPr>
            <w:tcW w:type="dxa" w:w="2351"/>
            <w:tcBorders>
              <w:top w:val="nil"/>
              <w:bottom w:val="nil"/>
              <w:left w:val="nil"/>
              <w:right w:val="nil"/>
            </w:tcBorders>
          </w:tcPr>
          <w:p>
            <w:pPr>
              <w:spacing w:before="40" w:after="40"/>
            </w:pPr>
            <w:r>
              <w:rPr>
                <w:rFonts w:ascii="Times New Roman" w:hAnsi="Times New Roman" w:eastAsia="宋体"/>
                <w:b w:val="0"/>
                <w:sz w:val="18"/>
              </w:rPr>
              <w:t xml:space="preserve">初期：伤后 </w:t>
            </w:r>
            <w:r>
              <w:rPr>
                <w:rFonts w:ascii="Times New Roman" w:hAnsi="Times New Roman" w:eastAsia="宋体"/>
                <w:b/>
                <w:sz w:val="18"/>
              </w:rPr>
              <w:t>1～2 周以内</w:t>
            </w:r>
            <w:r>
              <w:rPr>
                <w:rFonts w:ascii="Times New Roman" w:hAnsi="Times New Roman" w:eastAsia="宋体"/>
                <w:b w:val="0"/>
                <w:sz w:val="18"/>
              </w:rPr>
              <w:t>（消）[7]</w:t>
            </w:r>
          </w:p>
        </w:tc>
        <w:tc>
          <w:tcPr>
            <w:tcW w:type="dxa" w:w="2351"/>
            <w:tcBorders>
              <w:top w:val="nil"/>
              <w:bottom w:val="nil"/>
              <w:left w:val="nil"/>
              <w:right w:val="nil"/>
            </w:tcBorders>
          </w:tcPr>
          <w:p>
            <w:pPr>
              <w:spacing w:before="40" w:after="40"/>
            </w:pPr>
            <w:r>
              <w:rPr>
                <w:rFonts w:ascii="Times New Roman" w:hAnsi="Times New Roman" w:eastAsia="宋体"/>
                <w:b w:val="0"/>
                <w:sz w:val="18"/>
              </w:rPr>
              <w:t xml:space="preserve">早期：伤后 </w:t>
            </w:r>
            <w:r>
              <w:rPr>
                <w:rFonts w:ascii="Times New Roman" w:hAnsi="Times New Roman" w:eastAsia="宋体"/>
                <w:b/>
                <w:sz w:val="18"/>
              </w:rPr>
              <w:t>1 周以内</w:t>
            </w:r>
            <w:r>
              <w:rPr>
                <w:rFonts w:ascii="Times New Roman" w:hAnsi="Times New Roman" w:eastAsia="宋体"/>
                <w:b w:val="0"/>
                <w:sz w:val="18"/>
              </w:rPr>
              <w:t>，凉血止血（走马散）</w:t>
            </w:r>
          </w:p>
        </w:tc>
      </w:tr>
      <w:tr>
        <w:tc>
          <w:tcPr>
            <w:tcW w:type="dxa" w:w="2351"/>
            <w:tcBorders>
              <w:top w:val="nil"/>
              <w:bottom w:val="nil"/>
              <w:left w:val="nil"/>
              <w:right w:val="nil"/>
            </w:tcBorders>
          </w:tcPr>
          <w:p>
            <w:pPr>
              <w:spacing w:before="40" w:after="40"/>
            </w:pPr>
            <w:r>
              <w:rPr>
                <w:rFonts w:ascii="Times New Roman" w:hAnsi="Times New Roman" w:eastAsia="宋体"/>
                <w:b w:val="0"/>
                <w:sz w:val="18"/>
              </w:rPr>
              <w:t>M1→M2 转换窗 3～7 d</w:t>
            </w:r>
          </w:p>
        </w:tc>
        <w:tc>
          <w:tcPr>
            <w:tcW w:type="dxa" w:w="2351"/>
            <w:tcBorders>
              <w:top w:val="nil"/>
              <w:bottom w:val="nil"/>
              <w:left w:val="nil"/>
              <w:right w:val="nil"/>
            </w:tcBorders>
          </w:tcPr>
          <w:p>
            <w:pPr>
              <w:spacing w:before="40" w:after="40"/>
            </w:pPr>
            <w:r>
              <w:rPr>
                <w:rFonts w:ascii="Times New Roman" w:hAnsi="Times New Roman" w:eastAsia="宋体"/>
                <w:b w:val="0"/>
                <w:sz w:val="18"/>
              </w:rPr>
              <w:t>增殖期：</w:t>
            </w:r>
            <w:r>
              <w:rPr>
                <w:rFonts w:ascii="Times New Roman" w:hAnsi="Times New Roman" w:eastAsia="宋体"/>
                <w:b/>
                <w:sz w:val="18"/>
              </w:rPr>
              <w:t>自受伤后 3 d 开始</w:t>
            </w:r>
            <w:r>
              <w:rPr>
                <w:rFonts w:ascii="Times New Roman" w:hAnsi="Times New Roman" w:eastAsia="宋体"/>
                <w:b w:val="0"/>
                <w:sz w:val="18"/>
              </w:rPr>
              <w:t>[76]</w:t>
            </w:r>
          </w:p>
        </w:tc>
        <w:tc>
          <w:tcPr>
            <w:tcW w:type="dxa" w:w="2351"/>
            <w:tcBorders>
              <w:top w:val="nil"/>
              <w:bottom w:val="nil"/>
              <w:left w:val="nil"/>
              <w:right w:val="nil"/>
            </w:tcBorders>
          </w:tcPr>
          <w:p>
            <w:pPr>
              <w:spacing w:before="40" w:after="40"/>
            </w:pPr>
            <w:r>
              <w:rPr>
                <w:rFonts w:ascii="Times New Roman" w:hAnsi="Times New Roman" w:eastAsia="宋体"/>
                <w:b w:val="0"/>
                <w:sz w:val="18"/>
              </w:rPr>
              <w:t>↑（仍属初期，同一治法内）</w:t>
            </w:r>
          </w:p>
        </w:tc>
        <w:tc>
          <w:tcPr>
            <w:tcW w:type="dxa" w:w="2351"/>
            <w:tcBorders>
              <w:top w:val="nil"/>
              <w:bottom w:val="nil"/>
              <w:left w:val="nil"/>
              <w:right w:val="nil"/>
            </w:tcBorders>
          </w:tcPr>
          <w:p>
            <w:pPr>
              <w:spacing w:before="40" w:after="40"/>
            </w:pPr>
            <w:r>
              <w:rPr>
                <w:rFonts w:ascii="Times New Roman" w:hAnsi="Times New Roman" w:eastAsia="宋体"/>
                <w:b w:val="0"/>
                <w:sz w:val="18"/>
              </w:rPr>
              <w:t>↑（仍属早期，同一治法内）</w:t>
            </w:r>
          </w:p>
        </w:tc>
      </w:tr>
      <w:tr>
        <w:tc>
          <w:tcPr>
            <w:tcW w:type="dxa" w:w="2351"/>
            <w:tcBorders>
              <w:top w:val="nil"/>
              <w:bottom w:val="nil"/>
              <w:left w:val="nil"/>
              <w:right w:val="nil"/>
            </w:tcBorders>
          </w:tcPr>
          <w:p>
            <w:pPr>
              <w:spacing w:before="40" w:after="40"/>
            </w:pPr>
            <w:r>
              <w:rPr>
                <w:rFonts w:ascii="Times New Roman" w:hAnsi="Times New Roman" w:eastAsia="宋体"/>
                <w:b w:val="0"/>
                <w:sz w:val="18"/>
              </w:rPr>
              <w:t>M2 主导 1～2 w</w:t>
            </w:r>
          </w:p>
        </w:tc>
        <w:tc>
          <w:tcPr>
            <w:tcW w:type="dxa" w:w="2351"/>
            <w:tcBorders>
              <w:top w:val="nil"/>
              <w:bottom w:val="nil"/>
              <w:left w:val="nil"/>
              <w:right w:val="nil"/>
            </w:tcBorders>
          </w:tcPr>
          <w:p>
            <w:pPr>
              <w:spacing w:before="40" w:after="40"/>
            </w:pPr>
            <w:r>
              <w:rPr>
                <w:rFonts w:ascii="Times New Roman" w:hAnsi="Times New Roman" w:eastAsia="宋体"/>
                <w:b w:val="0"/>
                <w:sz w:val="18"/>
              </w:rPr>
              <w:t>增殖期主体：</w:t>
            </w:r>
            <w:r>
              <w:rPr>
                <w:rFonts w:ascii="Times New Roman" w:hAnsi="Times New Roman" w:eastAsia="宋体"/>
                <w:b/>
                <w:sz w:val="18"/>
              </w:rPr>
              <w:t>持续 15 d</w:t>
            </w:r>
            <w:r>
              <w:rPr>
                <w:rFonts w:ascii="Times New Roman" w:hAnsi="Times New Roman" w:eastAsia="宋体"/>
                <w:b w:val="0"/>
                <w:sz w:val="18"/>
              </w:rPr>
              <w:t xml:space="preserve">[76]；组织再生机化期 </w:t>
            </w:r>
            <w:r>
              <w:rPr>
                <w:rFonts w:ascii="Times New Roman" w:hAnsi="Times New Roman" w:eastAsia="宋体"/>
                <w:b/>
                <w:sz w:val="18"/>
              </w:rPr>
              <w:t>2～4 周</w:t>
            </w:r>
            <w:r>
              <w:rPr>
                <w:rFonts w:ascii="Times New Roman" w:hAnsi="Times New Roman" w:eastAsia="宋体"/>
                <w:b w:val="0"/>
                <w:sz w:val="18"/>
              </w:rPr>
              <w:t>[75]</w:t>
            </w:r>
          </w:p>
        </w:tc>
        <w:tc>
          <w:tcPr>
            <w:tcW w:type="dxa" w:w="2351"/>
            <w:tcBorders>
              <w:top w:val="nil"/>
              <w:bottom w:val="nil"/>
              <w:left w:val="nil"/>
              <w:right w:val="nil"/>
            </w:tcBorders>
          </w:tcPr>
          <w:p>
            <w:pPr>
              <w:spacing w:before="40" w:after="40"/>
            </w:pPr>
            <w:r>
              <w:rPr>
                <w:rFonts w:ascii="Times New Roman" w:hAnsi="Times New Roman" w:eastAsia="宋体"/>
                <w:b w:val="0"/>
                <w:sz w:val="18"/>
              </w:rPr>
              <w:t xml:space="preserve">中期：伤后 </w:t>
            </w:r>
            <w:r>
              <w:rPr>
                <w:rFonts w:ascii="Times New Roman" w:hAnsi="Times New Roman" w:eastAsia="宋体"/>
                <w:b/>
                <w:sz w:val="18"/>
              </w:rPr>
              <w:t>3～6 周</w:t>
            </w:r>
            <w:r>
              <w:rPr>
                <w:rFonts w:ascii="Times New Roman" w:hAnsi="Times New Roman" w:eastAsia="宋体"/>
                <w:b w:val="0"/>
                <w:sz w:val="18"/>
              </w:rPr>
              <w:t>（和）[7]</w:t>
            </w:r>
          </w:p>
        </w:tc>
        <w:tc>
          <w:tcPr>
            <w:tcW w:type="dxa" w:w="2351"/>
            <w:tcBorders>
              <w:top w:val="nil"/>
              <w:bottom w:val="nil"/>
              <w:left w:val="nil"/>
              <w:right w:val="nil"/>
            </w:tcBorders>
          </w:tcPr>
          <w:p>
            <w:pPr>
              <w:spacing w:before="40" w:after="40"/>
            </w:pPr>
            <w:r>
              <w:rPr>
                <w:rFonts w:ascii="Times New Roman" w:hAnsi="Times New Roman" w:eastAsia="宋体"/>
                <w:b w:val="0"/>
                <w:sz w:val="18"/>
              </w:rPr>
              <w:t xml:space="preserve">中期：伤后 </w:t>
            </w:r>
            <w:r>
              <w:rPr>
                <w:rFonts w:ascii="Times New Roman" w:hAnsi="Times New Roman" w:eastAsia="宋体"/>
                <w:b/>
                <w:sz w:val="18"/>
              </w:rPr>
              <w:t>第 2～3 周</w:t>
            </w:r>
            <w:r>
              <w:rPr>
                <w:rFonts w:ascii="Times New Roman" w:hAnsi="Times New Roman" w:eastAsia="宋体"/>
                <w:b w:val="0"/>
                <w:sz w:val="18"/>
              </w:rPr>
              <w:t>，活血化瘀（筋骨通络方）</w:t>
            </w:r>
          </w:p>
        </w:tc>
      </w:tr>
      <w:tr>
        <w:tc>
          <w:tcPr>
            <w:tcW w:type="dxa" w:w="2351"/>
            <w:tcBorders>
              <w:top w:val="nil"/>
              <w:bottom w:val="nil"/>
              <w:left w:val="nil"/>
              <w:right w:val="nil"/>
            </w:tcBorders>
          </w:tcPr>
          <w:p>
            <w:pPr>
              <w:spacing w:before="40" w:after="40"/>
            </w:pPr>
            <w:r>
              <w:rPr>
                <w:rFonts w:ascii="Times New Roman" w:hAnsi="Times New Roman" w:eastAsia="宋体"/>
                <w:b w:val="0"/>
                <w:sz w:val="18"/>
              </w:rPr>
              <w:t>重塑期 &gt;2 w</w:t>
            </w:r>
          </w:p>
        </w:tc>
        <w:tc>
          <w:tcPr>
            <w:tcW w:type="dxa" w:w="2351"/>
            <w:tcBorders>
              <w:top w:val="nil"/>
              <w:bottom w:val="nil"/>
              <w:left w:val="nil"/>
              <w:right w:val="nil"/>
            </w:tcBorders>
          </w:tcPr>
          <w:p>
            <w:pPr>
              <w:spacing w:before="40" w:after="40"/>
            </w:pPr>
            <w:r>
              <w:rPr>
                <w:rFonts w:ascii="Times New Roman" w:hAnsi="Times New Roman" w:eastAsia="宋体"/>
                <w:b w:val="0"/>
                <w:sz w:val="18"/>
              </w:rPr>
              <w:t>重塑期：</w:t>
            </w:r>
            <w:r>
              <w:rPr>
                <w:rFonts w:ascii="Times New Roman" w:hAnsi="Times New Roman" w:eastAsia="宋体"/>
                <w:b/>
                <w:sz w:val="18"/>
              </w:rPr>
              <w:t>伤后 6～12 周</w:t>
            </w:r>
            <w:r>
              <w:rPr>
                <w:rFonts w:ascii="Times New Roman" w:hAnsi="Times New Roman" w:eastAsia="宋体"/>
                <w:b w:val="0"/>
                <w:sz w:val="18"/>
              </w:rPr>
              <w:t xml:space="preserve">[76]；功能结构重塑期 </w:t>
            </w:r>
            <w:r>
              <w:rPr>
                <w:rFonts w:ascii="Times New Roman" w:hAnsi="Times New Roman" w:eastAsia="宋体"/>
                <w:b/>
                <w:sz w:val="18"/>
              </w:rPr>
              <w:t>7 周–1 年</w:t>
            </w:r>
            <w:r>
              <w:rPr>
                <w:rFonts w:ascii="Times New Roman" w:hAnsi="Times New Roman" w:eastAsia="宋体"/>
                <w:b w:val="0"/>
                <w:sz w:val="18"/>
              </w:rPr>
              <w:t>[75]</w:t>
            </w:r>
          </w:p>
        </w:tc>
        <w:tc>
          <w:tcPr>
            <w:tcW w:type="dxa" w:w="2351"/>
            <w:tcBorders>
              <w:top w:val="nil"/>
              <w:bottom w:val="nil"/>
              <w:left w:val="nil"/>
              <w:right w:val="nil"/>
            </w:tcBorders>
          </w:tcPr>
          <w:p>
            <w:pPr>
              <w:spacing w:before="40" w:after="40"/>
            </w:pPr>
            <w:r>
              <w:rPr>
                <w:rFonts w:ascii="Times New Roman" w:hAnsi="Times New Roman" w:eastAsia="宋体"/>
                <w:b w:val="0"/>
                <w:sz w:val="18"/>
              </w:rPr>
              <w:t xml:space="preserve">后期：伤后 </w:t>
            </w:r>
            <w:r>
              <w:rPr>
                <w:rFonts w:ascii="Times New Roman" w:hAnsi="Times New Roman" w:eastAsia="宋体"/>
                <w:b/>
                <w:sz w:val="18"/>
              </w:rPr>
              <w:t>7 周以后</w:t>
            </w:r>
            <w:r>
              <w:rPr>
                <w:rFonts w:ascii="Times New Roman" w:hAnsi="Times New Roman" w:eastAsia="宋体"/>
                <w:b w:val="0"/>
                <w:sz w:val="18"/>
              </w:rPr>
              <w:t>（补）[7]</w:t>
            </w:r>
          </w:p>
        </w:tc>
        <w:tc>
          <w:tcPr>
            <w:tcW w:type="dxa" w:w="2351"/>
            <w:tcBorders>
              <w:top w:val="nil"/>
              <w:bottom w:val="nil"/>
              <w:left w:val="nil"/>
              <w:right w:val="nil"/>
            </w:tcBorders>
          </w:tcPr>
          <w:p>
            <w:pPr>
              <w:spacing w:before="40" w:after="40"/>
            </w:pPr>
            <w:r>
              <w:rPr>
                <w:rFonts w:ascii="Times New Roman" w:hAnsi="Times New Roman" w:eastAsia="宋体"/>
                <w:b w:val="0"/>
                <w:sz w:val="18"/>
              </w:rPr>
              <w:t xml:space="preserve">晚期：伤后 </w:t>
            </w:r>
            <w:r>
              <w:rPr>
                <w:rFonts w:ascii="Times New Roman" w:hAnsi="Times New Roman" w:eastAsia="宋体"/>
                <w:b/>
                <w:sz w:val="18"/>
              </w:rPr>
              <w:t>4～6 周</w:t>
            </w:r>
            <w:r>
              <w:rPr>
                <w:rFonts w:ascii="Times New Roman" w:hAnsi="Times New Roman" w:eastAsia="宋体"/>
                <w:b w:val="0"/>
                <w:sz w:val="18"/>
              </w:rPr>
              <w:t>，和营生新（接骨散）</w:t>
            </w:r>
          </w:p>
        </w:tc>
      </w:tr>
      <w:tr>
        <w:tc>
          <w:tcPr>
            <w:tcW w:type="dxa" w:w="2351"/>
            <w:tcBorders>
              <w:top w:val="nil"/>
              <w:bottom w:val="single" w:sz="12" w:color="000000"/>
              <w:left w:val="nil"/>
              <w:right w:val="nil"/>
            </w:tcBorders>
          </w:tcPr>
          <w:p>
            <w:pPr>
              <w:spacing w:before="40" w:after="40"/>
            </w:pPr>
            <w:r>
              <w:rPr>
                <w:rFonts w:ascii="Times New Roman" w:hAnsi="Times New Roman" w:eastAsia="宋体"/>
                <w:b w:val="0"/>
                <w:sz w:val="18"/>
              </w:rPr>
              <w:t>时相失控</w:t>
            </w:r>
          </w:p>
        </w:tc>
        <w:tc>
          <w:tcPr>
            <w:tcW w:type="dxa" w:w="2351"/>
            <w:tcBorders>
              <w:top w:val="nil"/>
              <w:bottom w:val="single" w:sz="12" w:color="000000"/>
              <w:left w:val="nil"/>
              <w:right w:val="nil"/>
            </w:tcBorders>
          </w:tcPr>
          <w:p>
            <w:pPr>
              <w:spacing w:before="40" w:after="40"/>
            </w:pPr>
            <w:r>
              <w:rPr>
                <w:rFonts w:ascii="Times New Roman" w:hAnsi="Times New Roman" w:eastAsia="宋体"/>
                <w:b w:val="0"/>
                <w:sz w:val="18"/>
              </w:rPr>
              <w:t>疼痛慢性化：</w:t>
            </w:r>
            <w:r>
              <w:rPr>
                <w:rFonts w:ascii="Times New Roman" w:hAnsi="Times New Roman" w:eastAsia="宋体"/>
                <w:b/>
                <w:sz w:val="18"/>
              </w:rPr>
              <w:t>"疼痛超出正常的组织愈合期限"</w:t>
            </w:r>
            <w:r>
              <w:rPr>
                <w:rFonts w:ascii="Times New Roman" w:hAnsi="Times New Roman" w:eastAsia="宋体"/>
                <w:b w:val="0"/>
                <w:sz w:val="18"/>
              </w:rPr>
              <w:t>[76]</w:t>
            </w:r>
          </w:p>
        </w:tc>
        <w:tc>
          <w:tcPr>
            <w:tcW w:type="dxa" w:w="2351"/>
            <w:tcBorders>
              <w:top w:val="nil"/>
              <w:bottom w:val="single" w:sz="12" w:color="000000"/>
              <w:left w:val="nil"/>
              <w:right w:val="nil"/>
            </w:tcBorders>
          </w:tcPr>
          <w:p>
            <w:pPr>
              <w:spacing w:before="40" w:after="40"/>
            </w:pPr>
            <w:r>
              <w:rPr>
                <w:rFonts w:ascii="Times New Roman" w:hAnsi="Times New Roman" w:eastAsia="宋体"/>
                <w:b w:val="0"/>
                <w:sz w:val="18"/>
              </w:rPr>
              <w:t>—</w:t>
            </w:r>
          </w:p>
        </w:tc>
        <w:tc>
          <w:tcPr>
            <w:tcW w:type="dxa" w:w="2351"/>
            <w:tcBorders>
              <w:top w:val="nil"/>
              <w:bottom w:val="single" w:sz="12" w:color="000000"/>
              <w:left w:val="nil"/>
              <w:right w:val="nil"/>
            </w:tcBorders>
          </w:tcPr>
          <w:p>
            <w:pPr>
              <w:spacing w:before="40" w:after="40"/>
            </w:pPr>
            <w:r>
              <w:rPr>
                <w:rFonts w:ascii="Times New Roman" w:hAnsi="Times New Roman" w:eastAsia="宋体"/>
                <w:b w:val="0"/>
                <w:sz w:val="18"/>
              </w:rPr>
              <w:t>—</w:t>
            </w:r>
          </w:p>
        </w:tc>
      </w:tr>
    </w:tbl>
    <w:p>
      <w:pPr>
        <w:spacing w:after="60" w:line="360" w:lineRule="auto"/>
        <w:ind w:firstLine="420"/>
      </w:pPr>
      <w:r>
        <w:rPr>
          <w:rFonts w:ascii="Times New Roman" w:hAnsi="Times New Roman" w:eastAsia="宋体"/>
          <w:b w:val="0"/>
          <w:sz w:val="21"/>
        </w:rPr>
        <w:t>筋伤修复进程刻度在 72 h、3 d、15 d／2～4 周、6 周诸节点上与免疫时相的关键转折高度对应[75,76]，而三期所载治法（初期消、中期和、后期补）[7]正是第 4 章所论证三个免疫学落点的治则载体。中医自身给出的"分期—治法—病程边界"组合，本就落在免疫时相的边界上。故本文的主张在于将筋伤领域已有的修复进程刻度与免疫时相刻度对齐，据以重新校准干预时窗，而非另立新框架。</w:t>
      </w:r>
    </w:p>
    <w:p>
      <w:pPr>
        <w:spacing w:after="60" w:line="360" w:lineRule="auto"/>
        <w:ind w:firstLine="420"/>
      </w:pPr>
      <w:r>
        <w:rPr>
          <w:rFonts w:ascii="Times New Roman" w:hAnsi="Times New Roman" w:eastAsia="宋体"/>
          <w:b/>
          <w:sz w:val="21"/>
        </w:rPr>
        <w:t>这一对齐为何长期未被检验。</w:t>
      </w:r>
      <w:r>
        <w:rPr>
          <w:rFonts w:ascii="Times New Roman" w:hAnsi="Times New Roman" w:eastAsia="宋体"/>
          <w:b w:val="0"/>
          <w:sz w:val="21"/>
        </w:rPr>
        <w:t xml:space="preserve"> 筋伤领域并不缺少时间刻度，症结在于已有刻度分属两个互不交叉的框架。以天计的修复进程刻度出自创伤急救与康复医学共识[75,76]，所配干预为 PRICE 原则、冰敷、加压、运动康复与镇痛药物，该框架规定"何时做什么处置"，却不涉及中药给药；2021 年共识虽在镇痛章节纳入中医疗法，也仅将推拿、针刺、灸法笼统系于"增殖期及重塑期"[76]。中药给药沿用的三期分期则长期以周为单位，跨度较修复进程刻度整体宽 3～5 倍，且并非为筋伤专设：《中医筋伤学》内治法的中期治法原文作"和营生新、接骨续筋"[7]，"接骨"二字出现在筋伤语境中，提示该框架来源并非筋伤自身的修复节律。两套刻度各行其是，长期未获并置检验，中医药干预文献亦普遍未报告给药时相（见第 7 章）。</w:t>
      </w:r>
    </w:p>
    <w:p>
      <w:pPr>
        <w:spacing w:after="60" w:line="360" w:lineRule="auto"/>
        <w:ind w:firstLine="420"/>
      </w:pPr>
      <w:r>
        <w:rPr>
          <w:rFonts w:ascii="Times New Roman" w:hAnsi="Times New Roman" w:eastAsia="宋体"/>
          <w:b/>
          <w:sz w:val="21"/>
        </w:rPr>
        <w:t>近年的重要进展及其未尽之处。</w:t>
      </w:r>
      <w:r>
        <w:rPr>
          <w:rFonts w:ascii="Times New Roman" w:hAnsi="Times New Roman" w:eastAsia="宋体"/>
          <w:b w:val="0"/>
          <w:sz w:val="21"/>
        </w:rPr>
        <w:t xml:space="preserve"> 筋伤域的中药给药分期近年已出现专门化的努力。2024 年《急性外踝韧带损伤中药外治方案专家共识》首次针对该具体病种提出"凉血止血、活血化瘀、和营生新"三期中药外治方案，界定早期为伤后 1 周以内（走马散加减）、中期为第 2～3 周（筋骨通络方加减）、晚期为 4～6 周（接骨散加减），均为洗剂外用，各期推荐证据等级 1b[77]；配套随机对照研究（n=64）以该方案联合 POLICE 原则治疗，在伤后 1 周、6 周的 VAS、AOFAS、Karlsson 评分及 6 周时距腓前韧带 MRI 信噪比上均优于对照组[78]。这一进展有三重意义，恰好界定了本文论题的当前边界。</w:t>
      </w:r>
    </w:p>
    <w:p>
      <w:pPr>
        <w:spacing w:after="60" w:line="360" w:lineRule="auto"/>
        <w:ind w:firstLine="420"/>
      </w:pPr>
      <w:r>
        <w:rPr>
          <w:rFonts w:ascii="Times New Roman" w:hAnsi="Times New Roman" w:eastAsia="宋体"/>
          <w:b w:val="0"/>
          <w:sz w:val="21"/>
        </w:rPr>
        <w:t>其一，它证实用药分期确有按筋伤修复节律重新设定的必要与可能：所定边界较通行的 1～2 周／3～6 周／7 周以上[7]整体前移并压缩，方向与修复进程刻度[75,76]一致。其二，接骨续筋脉络的沿袭痕迹依然可辨，其晚期方名"接骨散"含骨碎补、续断、自然铜三味接骨要药[77]，治疗对象是韧带，方名与药物构成却仍出自接骨续筋传统。其三，也是与本文最相关的一点，该方案的分期依据仍为临床表现的消长与经验共识，而非可测量的时相指标；其早期跨度为整 1 周，将清创期（0～72 h）与转换窗（3～7 d）并为同一给药阶段，且治法定为"凉血止血"，即在关键转换窗内给出的是收敛止血而非主动促成转换的取向，该共识与配套研究亦未报告任何巨噬细胞表型指标。</w:t>
      </w:r>
    </w:p>
    <w:p>
      <w:pPr>
        <w:spacing w:after="60" w:line="360" w:lineRule="auto"/>
        <w:ind w:firstLine="420"/>
      </w:pPr>
      <w:r>
        <w:rPr>
          <w:rFonts w:ascii="Times New Roman" w:hAnsi="Times New Roman" w:eastAsia="宋体"/>
          <w:b w:val="0"/>
          <w:sz w:val="21"/>
        </w:rPr>
        <w:t>因此，"何时给药"的实验依据缺口并未因上述进展而填补，只是位置发生了移动：分期本身已获专门化与初步临床检验[77,78]，但边界依据、尤其是关键转换窗内的治法取向，仍未与免疫时相并置检验。这正是本文所指对齐工作尚未完成之处。</w:t>
      </w:r>
    </w:p>
    <w:p>
      <w:pPr>
        <w:spacing w:before="120" w:after="120" w:line="336" w:lineRule="auto"/>
        <w:ind w:left="425" w:right="425"/>
      </w:pPr>
      <w:r>
        <w:rPr>
          <w:rFonts w:ascii="Times New Roman" w:hAnsi="Times New Roman" w:eastAsia="宋体"/>
          <w:b/>
          <w:color w:val="333333"/>
          <w:sz w:val="20"/>
        </w:rPr>
        <w:t>可检验推论 4：</w:t>
      </w:r>
      <w:r>
        <w:rPr>
          <w:rFonts w:ascii="Times New Roman" w:hAnsi="Times New Roman" w:eastAsia="宋体"/>
          <w:b w:val="0"/>
          <w:color w:val="333333"/>
          <w:sz w:val="20"/>
        </w:rPr>
        <w:t xml:space="preserve"> 本文主张以</w:t>
      </w:r>
      <w:r>
        <w:rPr>
          <w:rFonts w:ascii="Times New Roman" w:hAnsi="Times New Roman" w:eastAsia="宋体"/>
          <w:b/>
          <w:color w:val="333333"/>
          <w:sz w:val="20"/>
        </w:rPr>
        <w:t>修复进程刻度为界的分层给药</w:t>
      </w:r>
      <w:r>
        <w:rPr>
          <w:rFonts w:ascii="Times New Roman" w:hAnsi="Times New Roman" w:eastAsia="宋体"/>
          <w:b w:val="0"/>
          <w:color w:val="333333"/>
          <w:sz w:val="20"/>
        </w:rPr>
        <w:t>为受检假设的主臂，即以 72 h（炎症期终点）与 3 d（增殖期起点）为给药边界，因在现有三套刻度中只有它按病理生理进程而非症状演变设定[76]，且恰与转换窗重合。检验设计为三臂平行而地位不对称：主臂为修复进程刻度分层（0～72 h／3 d～15 d／&gt;6 w）；临床对照臂为 2024 年共识所定的 1 周／2～3 周／4～6 周[77,78]，该臂虽非首选，却是唯一已具 1b 级证据、可直接落地的现行方案；参照臂为传统三期用药分期[7]。若本文判断成立，三臂在表型转换时点与修复质量终点上应呈主臂 &gt; 临床对照臂 &gt; 参照臂的梯度，且梯度大小与各臂边界距转换窗的远近相对应；尤应检验临床对照臂早期"凉血止血"的取向是否延迟了转换。若三臂无差异，则说明疗效来自给药本身而非分期边界的位置，本节主张即不成立。</w:t>
      </w:r>
    </w:p>
    <w:p>
      <w:pPr>
        <w:spacing w:after="60" w:line="360" w:lineRule="auto"/>
        <w:ind w:firstLine="420"/>
      </w:pPr>
      <w:r>
        <w:rPr>
          <w:rFonts w:ascii="Times New Roman" w:hAnsi="Times New Roman" w:eastAsia="宋体"/>
          <w:b/>
          <w:sz w:val="21"/>
        </w:rPr>
        <w:t>尚需说明两点。</w:t>
      </w:r>
      <w:r>
        <w:rPr>
          <w:rFonts w:ascii="Times New Roman" w:hAnsi="Times New Roman" w:eastAsia="宋体"/>
          <w:b w:val="0"/>
          <w:sz w:val="21"/>
        </w:rPr>
        <w:t xml:space="preserve"> 其一，两套刻度本非同一层级，前者描述修复进程，后者界定用药阶段，本无抵牾；本文所指者为二者共用同一组分期名称而长期未获并置，并非否定现行方案的临床价值。其二，临床医家历来强调三期"不必拘泥时日，以证为凭"，本文列举具体天数意在呈现边界位置与数量级，而非主张固定时限。古籍对此已有提示：《医宗金鉴》既以"有瘀血者，宜攻利之；亡血者，宜补而行之"给出依据病机而非天数的分辨标准，又以"必先逐去瘀血，和荣止痛，然后调养气血"给出治疗的时间顺序，共同指向以可测量的时相指标取代固定天数的可能。</w:t>
      </w:r>
    </w:p>
    <w:p>
      <w:pPr>
        <w:spacing w:after="60" w:line="360" w:lineRule="auto"/>
        <w:ind w:firstLine="420"/>
      </w:pPr>
      <w:r>
        <w:rPr>
          <w:rFonts w:ascii="Times New Roman" w:hAnsi="Times New Roman" w:eastAsia="宋体"/>
          <w:b w:val="0"/>
          <w:sz w:val="21"/>
        </w:rPr>
        <w:t>由此，"择时干预"获得一个精确而非修辞的定义：在巨噬细胞表型转换窗内施加可改变代谢切换时点的干预，使免疫时相与临床给药阶段相互对应。</w:t>
      </w:r>
    </w:p>
    <w:p>
      <w:pPr>
        <w:spacing w:before="200" w:after="100"/>
      </w:pPr>
      <w:r>
        <w:rPr>
          <w:rFonts w:ascii="Times New Roman" w:hAnsi="Times New Roman" w:eastAsia="黑体"/>
          <w:b/>
          <w:sz w:val="24"/>
        </w:rPr>
        <w:t>5 中医药择时干预策略</w:t>
      </w:r>
    </w:p>
    <w:p>
      <w:pPr>
        <w:spacing w:before="160" w:after="100"/>
      </w:pPr>
      <w:r>
        <w:rPr>
          <w:rFonts w:ascii="Times New Roman" w:hAnsi="Times New Roman" w:eastAsia="黑体"/>
          <w:b/>
          <w:sz w:val="21"/>
        </w:rPr>
        <w:t>5.1 消法类方药：抑制 M1 过度活化并促进炎症消退</w:t>
      </w:r>
    </w:p>
    <w:p>
      <w:pPr>
        <w:spacing w:after="60" w:line="360" w:lineRule="auto"/>
        <w:ind w:firstLine="420"/>
      </w:pPr>
      <w:r>
        <w:rPr>
          <w:rFonts w:ascii="Times New Roman" w:hAnsi="Times New Roman" w:eastAsia="宋体"/>
          <w:b/>
          <w:sz w:val="21"/>
        </w:rPr>
        <w:t>外用清热消肿类膏药。</w:t>
      </w:r>
      <w:r>
        <w:rPr>
          <w:rFonts w:ascii="Times New Roman" w:hAnsi="Times New Roman" w:eastAsia="宋体"/>
          <w:b w:val="0"/>
          <w:sz w:val="21"/>
        </w:rPr>
        <w:t xml:space="preserve"> 栀黄膏由栀子、大黄、芒硝、白芍组成，立法取"清热消肿、活血止痛"之意，契合伤科初期"瘀热互结"之病机。现代研究发现其可显著减轻 ASTI 小鼠的临床体征与组织学损伤，核心机制在于促进 Treg 细胞趋化以增强炎症控制并促进骨骼肌重塑[8]，是目前唯一以 ASTI 为模型、机制落于免疫细胞的中药外用制剂证据（证据等级 α）。同类膏剂中，冲和膏可经 PI3K/Akt-NLRP3 通路促进创面愈合[79]；外用中药在创伤修复三阶段的效应侧重亦不同：早期激活免疫细胞趋化与吞噬，中期促进成纤维细胞增殖，后期调控胶原合成与基质重塑[80]。</w:t>
      </w:r>
    </w:p>
    <w:p>
      <w:pPr>
        <w:spacing w:after="60" w:line="360" w:lineRule="auto"/>
        <w:ind w:firstLine="420"/>
      </w:pPr>
      <w:r>
        <w:rPr>
          <w:rFonts w:ascii="Times New Roman" w:hAnsi="Times New Roman" w:eastAsia="宋体"/>
          <w:b w:val="0"/>
          <w:sz w:val="21"/>
        </w:rPr>
        <w:t>就给药时点而言，栀黄膏原研究自造模后即开始连续给药，未设时点对照；冲和膏一类则以慢性创面为模型，其时程与 ASTI 不可直接比拟。故此类外治证据虽属 α 级，仍只能说明"外用可调控局部免疫微环境"，尚不能回答"何时敷用最优"。</w:t>
      </w:r>
    </w:p>
    <w:p>
      <w:pPr>
        <w:spacing w:after="60" w:line="360" w:lineRule="auto"/>
        <w:ind w:firstLine="420"/>
      </w:pPr>
      <w:r>
        <w:rPr>
          <w:rFonts w:ascii="Times New Roman" w:hAnsi="Times New Roman" w:eastAsia="宋体"/>
          <w:b/>
          <w:sz w:val="21"/>
        </w:rPr>
        <w:t>活血化瘀经典方。</w:t>
      </w:r>
      <w:r>
        <w:rPr>
          <w:rFonts w:ascii="Times New Roman" w:hAnsi="Times New Roman" w:eastAsia="宋体"/>
          <w:b w:val="0"/>
          <w:sz w:val="21"/>
        </w:rPr>
        <w:t xml:space="preserve"> 桃红四物汤养血活血、血府逐瘀汤行气活血，立法均本于伤科"气滞血瘀"之病机，现代药理证实二者具明确抗炎作用，前者可降低炎症模型小鼠血清 TNF-α、IL-6、IL-22 并升高 IL-10[81]。该类方药的机制解析已进入巨噬细胞极化层面：血府逐瘀胶囊可减小 ApoE</w:t>
      </w:r>
      <w:r>
        <w:rPr>
          <w:rFonts w:ascii="Times New Roman" w:hAnsi="Times New Roman" w:eastAsia="宋体"/>
          <w:b w:val="0"/>
          <w:sz w:val="21"/>
          <w:vertAlign w:val="superscript"/>
        </w:rPr>
        <w:t>-</w:t>
      </w:r>
      <w:r>
        <w:rPr>
          <w:rFonts w:ascii="Times New Roman" w:hAnsi="Times New Roman" w:eastAsia="宋体"/>
          <w:b w:val="0"/>
          <w:sz w:val="21"/>
        </w:rPr>
        <w:t>/</w:t>
      </w:r>
      <w:r>
        <w:rPr>
          <w:rFonts w:ascii="Times New Roman" w:hAnsi="Times New Roman" w:eastAsia="宋体"/>
          <w:b w:val="0"/>
          <w:sz w:val="21"/>
          <w:vertAlign w:val="superscript"/>
        </w:rPr>
        <w:t>-</w:t>
      </w:r>
      <w:r>
        <w:rPr>
          <w:rFonts w:ascii="Times New Roman" w:hAnsi="Times New Roman" w:eastAsia="宋体"/>
          <w:b w:val="0"/>
          <w:sz w:val="21"/>
        </w:rPr>
        <w:t xml:space="preserve"> 小鼠主动脉斑块面积，下调 CD86、iNOS 并上调 CD206、Arg-1[82]。但该研究以动脉粥样硬化为模型且未报告给药时相；现有活血化瘀方药的机制研究多属此类，尚不足以支撑"该方通过择时调控极化发挥治伤作用"的推论，这正是本文主张以功能态与时窗为统一标尺重新评价复方证据的原因。</w:t>
      </w:r>
    </w:p>
    <w:p>
      <w:pPr>
        <w:spacing w:after="60" w:line="360" w:lineRule="auto"/>
        <w:ind w:firstLine="420"/>
      </w:pPr>
      <w:r>
        <w:rPr>
          <w:rFonts w:ascii="Times New Roman" w:hAnsi="Times New Roman" w:eastAsia="宋体"/>
          <w:b w:val="0"/>
          <w:sz w:val="21"/>
        </w:rPr>
        <w:t>该类复方的现有机制研究均未报告给药时相，且多在造模后固定起始、连续给药至取材，故无从判断其效应系抑制 M1 峰值抑或加速转换。</w:t>
      </w:r>
    </w:p>
    <w:p>
      <w:pPr>
        <w:spacing w:after="60" w:line="360" w:lineRule="auto"/>
        <w:ind w:firstLine="420"/>
      </w:pPr>
      <w:r>
        <w:rPr>
          <w:rFonts w:ascii="Times New Roman" w:hAnsi="Times New Roman" w:eastAsia="宋体"/>
          <w:b/>
          <w:sz w:val="21"/>
        </w:rPr>
        <w:t>代表性活性成分。</w:t>
      </w:r>
      <w:r>
        <w:rPr>
          <w:rFonts w:ascii="Times New Roman" w:hAnsi="Times New Roman" w:eastAsia="宋体"/>
          <w:b w:val="0"/>
          <w:sz w:val="21"/>
        </w:rPr>
        <w:t xml:space="preserve"> 消法所涉成分以抑制 M1 过度活化为共同取向，作用通路集中于 TLR4/MyD88-NF-κB 与 JAK/STAT1 两条主线：槲皮素下调 NF-κB 与 IRF5[83,84]，葛根素直接结合 STAT1 蛋白并拮抗 NF-κB p65 与 JNK/FoxO1 通路[85,86]，丹参酮 IIA 经 ERβ/IL-10 通路促 M2 极化[87]，羟基红花黄色素 A 则作用于黄嘌呤氧化酶与 ZBP1-NLRP3 轴[88,89]，并在脑损伤与结肠炎模型中分别经调控自噬与抑制 HK1/NLRP3/GSDMD 焦亡通路发挥同类效应[90,91]。其中黄芩苷经 Ca</w:t>
      </w:r>
      <w:r>
        <w:rPr>
          <w:rFonts w:ascii="Times New Roman" w:hAnsi="Times New Roman" w:eastAsia="宋体"/>
          <w:b w:val="0"/>
          <w:sz w:val="21"/>
          <w:vertAlign w:val="superscript"/>
        </w:rPr>
        <w:t>2</w:t>
      </w:r>
      <w:r>
        <w:rPr>
          <w:rFonts w:ascii="Times New Roman" w:hAnsi="Times New Roman" w:eastAsia="宋体"/>
          <w:b w:val="0"/>
          <w:sz w:val="21"/>
          <w:vertAlign w:val="superscript"/>
        </w:rPr>
        <w:t>+</w:t>
      </w:r>
      <w:r>
        <w:rPr>
          <w:rFonts w:ascii="Times New Roman" w:hAnsi="Times New Roman" w:eastAsia="宋体"/>
          <w:b w:val="0"/>
          <w:sz w:val="21"/>
        </w:rPr>
        <w:t>/CaMKKβ 激活 AMPK[60]，所依赖者为 3.2 节所述"代谢开关"的上游激酶（见[51]），提示黄酮类成分可经代谢重编程影响极化方向。各成分的靶点与效应汇总见增强出版附加材料。</w:t>
      </w:r>
    </w:p>
    <w:p>
      <w:pPr>
        <w:spacing w:after="60" w:line="360" w:lineRule="auto"/>
        <w:ind w:firstLine="420"/>
      </w:pPr>
      <w:r>
        <w:rPr>
          <w:rFonts w:ascii="Times New Roman" w:hAnsi="Times New Roman" w:eastAsia="宋体"/>
          <w:b w:val="0"/>
          <w:sz w:val="21"/>
        </w:rPr>
        <w:t>上述成分的给药时点同样未见报告。以作用通路推断，抑制 TLR4/NF-κB 与 JAK/STAT1 者理论上应在 M1 主导期（0～72 h）收益最大，而促 M2 者宜后移至转换窗，但这一推断尚待以起始时点为自变量的实验检验。</w:t>
      </w:r>
    </w:p>
    <w:p>
      <w:pPr>
        <w:spacing w:before="160" w:after="100"/>
      </w:pPr>
      <w:r>
        <w:rPr>
          <w:rFonts w:ascii="Times New Roman" w:hAnsi="Times New Roman" w:eastAsia="黑体"/>
          <w:b/>
          <w:sz w:val="21"/>
        </w:rPr>
        <w:t>5.2 和法类方药：主动促成 M1→M2 转换</w:t>
      </w:r>
    </w:p>
    <w:p>
      <w:pPr>
        <w:spacing w:after="60" w:line="360" w:lineRule="auto"/>
        <w:ind w:firstLine="420"/>
      </w:pPr>
      <w:r>
        <w:rPr>
          <w:rFonts w:ascii="Times New Roman" w:hAnsi="Times New Roman" w:eastAsia="宋体"/>
          <w:b w:val="0"/>
          <w:sz w:val="21"/>
        </w:rPr>
        <w:t>和法类方药的作用窗正对应 3～7 d 转换窗，故为本章论述的重点。</w:t>
      </w:r>
    </w:p>
    <w:p>
      <w:pPr>
        <w:spacing w:after="60" w:line="360" w:lineRule="auto"/>
        <w:ind w:firstLine="420"/>
      </w:pPr>
      <w:r>
        <w:rPr>
          <w:rFonts w:ascii="Times New Roman" w:hAnsi="Times New Roman" w:eastAsia="宋体"/>
          <w:b/>
          <w:sz w:val="21"/>
        </w:rPr>
        <w:t>复方层面</w:t>
      </w:r>
      <w:r>
        <w:rPr>
          <w:rFonts w:ascii="Times New Roman" w:hAnsi="Times New Roman" w:eastAsia="宋体"/>
          <w:b w:val="0"/>
          <w:sz w:val="21"/>
        </w:rPr>
        <w:t>，补阳还五汤可促进 M2 极化并抑制 NF-κB/STAT1 激活[92]；黄连解毒汤经 AMPK 通路上调 IL-10、Arg-1 并下调 iNOS、TNF-α[93]；简化方 NXK 则经 HIF-1α/PDK1 轴调控能量代谢重编程，协调 M1/M2 平衡[94]。</w:t>
      </w:r>
    </w:p>
    <w:p>
      <w:pPr>
        <w:spacing w:after="60" w:line="360" w:lineRule="auto"/>
        <w:ind w:firstLine="420"/>
      </w:pPr>
      <w:r>
        <w:rPr>
          <w:rFonts w:ascii="Times New Roman" w:hAnsi="Times New Roman" w:eastAsia="宋体"/>
          <w:b w:val="0"/>
          <w:sz w:val="21"/>
        </w:rPr>
        <w:t>三方的给药方案均为造模后固定起始、连续给药，未设时点分层，故其"促转换"效应究竟依赖给药时点，抑或仅为持续给药的累积结果，目前无法区分。</w:t>
      </w:r>
    </w:p>
    <w:p>
      <w:pPr>
        <w:spacing w:after="60" w:line="360" w:lineRule="auto"/>
        <w:ind w:firstLine="420"/>
      </w:pPr>
      <w:r>
        <w:rPr>
          <w:rFonts w:ascii="Times New Roman" w:hAnsi="Times New Roman" w:eastAsia="宋体"/>
          <w:b/>
          <w:sz w:val="21"/>
        </w:rPr>
        <w:t>成分层面</w:t>
      </w:r>
      <w:r>
        <w:rPr>
          <w:rFonts w:ascii="Times New Roman" w:hAnsi="Times New Roman" w:eastAsia="宋体"/>
          <w:b w:val="0"/>
          <w:sz w:val="21"/>
        </w:rPr>
        <w:t>，黄芪甲苷 IV 的证据最为完整，其机制覆盖 TLR4/NF-κB 与 NLRP3 抑制[68]、STAT1/STAT3 表型转换[67]及 HMGB1/TLR4 与 TGF-β/Akt/Foxo1 轴调控[70]，正是本文将其列为"和法"代表性成分的原因：它同时下调 M1 驱动信号与上调 M2 程序，而非单向压制促炎一侧；口服给药还可重塑肠道菌群、增加丁酸产量并抑制肠道巨噬细胞 NLRP3 激活[95]，提示"肠—免疫轴"是口服中药调控远端组织免疫微环境的可行通路。其余成分的作用取向可归为三类：经 JAK/STAT 或 Nrf2/HO-1 通路实现表型转换者，如三七皂苷 R1[69]、人参皂苷 Rb1/Rg1[70]、青藤碱[96,97]；经代谢重编程改变转换时点者，如小檗碱[71,72,98]与薯蓣皂苷[70]；呈浓度依赖双向调节者，如白藜芦醇[99]。详见增强出版附加材料。</w:t>
      </w:r>
    </w:p>
    <w:p>
      <w:pPr>
        <w:spacing w:after="60" w:line="360" w:lineRule="auto"/>
        <w:ind w:firstLine="420"/>
      </w:pPr>
      <w:r>
        <w:rPr>
          <w:rFonts w:ascii="Times New Roman" w:hAnsi="Times New Roman" w:eastAsia="宋体"/>
          <w:b w:val="0"/>
          <w:sz w:val="21"/>
        </w:rPr>
        <w:t>需指出，上述成分虽在机制上与转换窗高度契合，但无一项研究将起始给药时点设为变量；其中经代谢重编程起效者（小檗碱、薯蓣皂苷）理论上对时点最为敏感，最宜作为推论 2 的首批受检对象。</w:t>
      </w:r>
    </w:p>
    <w:p>
      <w:pPr>
        <w:spacing w:after="60" w:line="360" w:lineRule="auto"/>
        <w:ind w:firstLine="420"/>
      </w:pPr>
      <w:r>
        <w:rPr>
          <w:rFonts w:ascii="Times New Roman" w:hAnsi="Times New Roman" w:eastAsia="宋体"/>
          <w:b w:val="0"/>
          <w:sz w:val="21"/>
        </w:rPr>
        <w:t>非药物中医疗法在本窗的证据与本文命题最为接近。 黄雨婷等[17]以大鼠急性腓肠肌钝挫伤为模型，自造模后第 1 天起电针"承山""阳陵泉"，按伤后 3、7、14 d 分批取材，结果呈现清晰的时相结构：电针组 CD68</w:t>
      </w:r>
      <w:r>
        <w:rPr>
          <w:rFonts w:ascii="Times New Roman" w:hAnsi="Times New Roman" w:eastAsia="宋体"/>
          <w:b w:val="0"/>
          <w:sz w:val="21"/>
          <w:vertAlign w:val="superscript"/>
        </w:rPr>
        <w:t>+</w:t>
      </w:r>
      <w:r>
        <w:rPr>
          <w:rFonts w:ascii="Times New Roman" w:hAnsi="Times New Roman" w:eastAsia="宋体"/>
          <w:b w:val="0"/>
          <w:sz w:val="21"/>
        </w:rPr>
        <w:t>（M1）于第 3 天低于模型组，CD206</w:t>
      </w:r>
      <w:r>
        <w:rPr>
          <w:rFonts w:ascii="Times New Roman" w:hAnsi="Times New Roman" w:eastAsia="宋体"/>
          <w:b w:val="0"/>
          <w:sz w:val="21"/>
          <w:vertAlign w:val="superscript"/>
        </w:rPr>
        <w:t>+</w:t>
      </w:r>
      <w:r>
        <w:rPr>
          <w:rFonts w:ascii="Times New Roman" w:hAnsi="Times New Roman" w:eastAsia="宋体"/>
          <w:b w:val="0"/>
          <w:sz w:val="21"/>
        </w:rPr>
        <w:t>（M2）于第 3、7 天高于模型组并在第 7 天达峰，胶原纤维占比在三个时点均低于模型组。该研究的价值在于按时间轴分解了干预效应：效应集中出现于第 3 至第 7 天，与本文所论的转换窗重合。Yuan 等[18]在布比卡因致大鼠腰多裂肌损伤模型中，先确定 CD68</w:t>
      </w:r>
      <w:r>
        <w:rPr>
          <w:rFonts w:ascii="Times New Roman" w:hAnsi="Times New Roman" w:eastAsia="宋体"/>
          <w:b w:val="0"/>
          <w:sz w:val="21"/>
          <w:vertAlign w:val="superscript"/>
        </w:rPr>
        <w:t>+</w:t>
      </w:r>
      <w:r>
        <w:rPr>
          <w:rFonts w:ascii="Times New Roman" w:hAnsi="Times New Roman" w:eastAsia="宋体"/>
          <w:b w:val="0"/>
          <w:sz w:val="21"/>
        </w:rPr>
        <w:t>浸润于伤后第 3 天达峰，再将电针分设 1、2、3、5 d 四个时长，发现 M1 下降与 M2 升高的显著效应同样出现在第 3 天。两项研究均属中医药干预、均在急性软组织损伤原位模型、均带时间分层设计，证据等级 α，共同表明中医外治法调控极化的效应具有明确时间结构，且效应峰与转换窗重合。</w:t>
      </w:r>
    </w:p>
    <w:p>
      <w:pPr>
        <w:spacing w:after="60" w:line="360" w:lineRule="auto"/>
        <w:ind w:firstLine="420"/>
      </w:pPr>
      <w:r>
        <w:rPr>
          <w:rFonts w:ascii="Times New Roman" w:hAnsi="Times New Roman" w:eastAsia="宋体"/>
          <w:b/>
          <w:sz w:val="21"/>
        </w:rPr>
        <w:t>但须严格界定其效力边界。</w:t>
      </w:r>
      <w:r>
        <w:rPr>
          <w:rFonts w:ascii="Times New Roman" w:hAnsi="Times New Roman" w:eastAsia="宋体"/>
          <w:b w:val="0"/>
          <w:sz w:val="21"/>
        </w:rPr>
        <w:t xml:space="preserve"> 上述电针两项研究的时间变量为取材时点与干预时长，而非起始给药时点，起针时间均固定于造模后第 1 天，未设"早期起针 vs 转换窗起针"的平行对照。故其能证明中医药干预的效应具有时相结构，尚不能证明改变起始时点会改变疗效方向，后者仍有待按 [9] 的设计范式检验（见推论 1）。</w:t>
      </w:r>
    </w:p>
    <w:p>
      <w:pPr>
        <w:spacing w:after="60" w:line="360" w:lineRule="auto"/>
        <w:ind w:firstLine="420"/>
      </w:pPr>
      <w:r>
        <w:rPr>
          <w:rFonts w:ascii="Times New Roman" w:hAnsi="Times New Roman" w:eastAsia="宋体"/>
          <w:b/>
          <w:sz w:val="21"/>
        </w:rPr>
        <w:t>手法类干预在本窗亦有呼应且更进一步。</w:t>
      </w:r>
      <w:r>
        <w:rPr>
          <w:rFonts w:ascii="Times New Roman" w:hAnsi="Times New Roman" w:eastAsia="宋体"/>
          <w:b w:val="0"/>
          <w:sz w:val="21"/>
        </w:rPr>
        <w:t xml:space="preserve"> 如前所述，Haas 等的家兔研究以起始时点为唯一自变量，证实即刻起始优于延迟 48 h 起始[20]；而国内推拿实验则普遍将干预起点设在伤后 24 h 至 3 d，并以"急性期不宜立即施术"为由加以说明[21,22]。这构成一个耐人寻味的对照：动物实验提示越早越好，而临床经验主张避开急性期。两者表面矛盾，实则指向同一个尚未回答的问题，即最佳起始时点究竟落在何处。 本文认为，这一分歧难以经由经验调和，只能通过设置平行起始时点臂的实验加以裁定（见推论 1）。</w:t>
      </w:r>
    </w:p>
    <w:p>
      <w:pPr>
        <w:spacing w:after="60" w:line="360" w:lineRule="auto"/>
        <w:ind w:firstLine="420"/>
      </w:pPr>
      <w:r>
        <w:rPr>
          <w:rFonts w:ascii="Times New Roman" w:hAnsi="Times New Roman" w:eastAsia="宋体"/>
          <w:b w:val="0"/>
          <w:sz w:val="21"/>
        </w:rPr>
        <w:t>必须同时指出一组反向证据，否则本文的主张将失之于简化。 若"促 M2 越早越好"成立，则延长 M1 期理应有害。但 Blomgran 等在大鼠跟腱切断模型中得到相反结果：以肉毒素减载的一组，下调炎症的标志物在第 5 天更为多见，M1/M2（CCR7/CD206）比值显著低于正常负载组（1.8 vs 2.8，P=0.001），Treg 比例更高（P&lt;0.001）；即减载组更早完成向 M2 的切换，然而切换更慢的正常负载组，其愈合腱的体积与强度反而更优，作者据此推论"因负载而延长的 M1 期，可能使肌腱再生得更为壮大"[100]。同向证据还有：肌腱愈合中 M2 活性过度或过久会促成粘连、纤维化与异位骨化，Ackerman 等的 EP4 条件敲除更呈现典型的时相反转，第 14 天滑动功能改善，第 28 天却劣于野生型[101]。</w:t>
      </w:r>
    </w:p>
    <w:p>
      <w:pPr>
        <w:spacing w:after="60" w:line="360" w:lineRule="auto"/>
        <w:ind w:firstLine="420"/>
      </w:pPr>
      <w:r>
        <w:rPr>
          <w:rFonts w:ascii="Times New Roman" w:hAnsi="Times New Roman" w:eastAsia="宋体"/>
          <w:b w:val="0"/>
          <w:sz w:val="21"/>
        </w:rPr>
        <w:t>这组反向证据并不削弱本文论点，反而使之精确化：M1→M2 转换存在一个最优时点，早于此则清创未竟、修复根基不牢，迟于此则炎症迁延、纤维化与粘连随之而来。若疗效只随剂量单调变化，时点便无关紧要；正因存在最优时点，"何时干预"才成为真问题。</w:t>
      </w:r>
    </w:p>
    <w:p>
      <w:pPr>
        <w:spacing w:after="60" w:line="360" w:lineRule="auto"/>
        <w:ind w:firstLine="420"/>
      </w:pPr>
      <w:r>
        <w:rPr>
          <w:rFonts w:ascii="Times New Roman" w:hAnsi="Times New Roman" w:eastAsia="宋体"/>
          <w:b w:val="0"/>
          <w:sz w:val="21"/>
        </w:rPr>
        <w:t>综合本节证据可知，三者共同圈定了一个区间而彼此并不抵触：Haas 的即刻优于延迟提示起始不宜过迟[20]，推拿经验所谓"急性期不宜立即施术"提示不宜过早[21,22]，Blomgran 与 Ackerman 则提示转换本身亦不宜过早完成[100,101]，分别界定该区间的下界、上界与终点。其确切边界落在何处，只能由平行时点对照实验回答。三法分期施用的免疫学意义亦在于此：其价值在于各法被安排在不同的时点上，而非某一法更为有效。</w:t>
      </w:r>
    </w:p>
    <w:p>
      <w:pPr>
        <w:spacing w:before="160" w:after="100"/>
      </w:pPr>
      <w:r>
        <w:rPr>
          <w:rFonts w:ascii="Times New Roman" w:hAnsi="Times New Roman" w:eastAsia="黑体"/>
          <w:b/>
          <w:sz w:val="21"/>
        </w:rPr>
        <w:t>5.3 补法类方药：维持 M2 功能质量并防止纤维化</w:t>
      </w:r>
    </w:p>
    <w:p>
      <w:pPr>
        <w:spacing w:after="60" w:line="360" w:lineRule="auto"/>
        <w:ind w:firstLine="420"/>
      </w:pPr>
      <w:r>
        <w:rPr>
          <w:rFonts w:ascii="Times New Roman" w:hAnsi="Times New Roman" w:eastAsia="宋体"/>
          <w:b w:val="0"/>
          <w:sz w:val="21"/>
        </w:rPr>
        <w:t>补法对应时窗（&gt;2 w）的证据最薄，现有材料以跨疾病外推为主。真武汤温阳利水，可用于损伤后期水湿内停、肿胀不消之证，实验证实其经 TLR4/NF-κB 通路抑制 M1 极化、减轻心肌纤维化[73]；阿魏酸可下调 CD38、恢复 CD206，促进抗炎表型并减轻肺纤维化[74]。经 SIRT5-GLUD1 轴调控谷氨酰胺代谢的艾灸干预[102]在机制上亦适配重塑期需求，但尚无 ASTI 模型验证。</w:t>
      </w:r>
    </w:p>
    <w:p>
      <w:pPr>
        <w:spacing w:after="60" w:line="360" w:lineRule="auto"/>
        <w:ind w:firstLine="420"/>
      </w:pPr>
      <w:r>
        <w:rPr>
          <w:rFonts w:ascii="Times New Roman" w:hAnsi="Times New Roman" w:eastAsia="宋体"/>
          <w:b w:val="0"/>
          <w:sz w:val="21"/>
        </w:rPr>
        <w:t>本节的证据缺口在全文中最为突出：后期"补"法为临床常规操作，机制研究却几近空白（证据等级 γ），构成明确的研究优先项。</w:t>
      </w:r>
    </w:p>
    <w:p>
      <w:pPr>
        <w:spacing w:before="160" w:after="100"/>
      </w:pPr>
      <w:r>
        <w:rPr>
          <w:rFonts w:ascii="Times New Roman" w:hAnsi="Times New Roman" w:eastAsia="黑体"/>
          <w:b/>
          <w:sz w:val="21"/>
        </w:rPr>
        <w:t>5.4 时窗—干预矩阵</w:t>
      </w:r>
    </w:p>
    <w:p>
      <w:pPr>
        <w:spacing w:after="60" w:line="360" w:lineRule="auto"/>
        <w:ind w:firstLine="420"/>
      </w:pPr>
      <w:r>
        <w:rPr>
          <w:rFonts w:ascii="Times New Roman" w:hAnsi="Times New Roman" w:eastAsia="宋体"/>
          <w:b w:val="0"/>
          <w:sz w:val="21"/>
        </w:rPr>
        <w:t>综合第 3～5 章，可得表 1。</w:t>
      </w:r>
    </w:p>
    <w:p>
      <w:pPr>
        <w:spacing w:after="60" w:line="360" w:lineRule="auto"/>
        <w:ind w:firstLine="420"/>
      </w:pPr>
      <w:r>
        <w:rPr>
          <w:rFonts w:ascii="Times New Roman" w:hAnsi="Times New Roman" w:eastAsia="宋体"/>
          <w:b/>
          <w:sz w:val="21"/>
        </w:rPr>
        <w:t>表 1 急性软组织损伤修复的免疫时相、伤科三期治法与中药干预证据矩阵</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免疫时窗</w:t>
            </w:r>
          </w:p>
        </w:tc>
        <w:tc>
          <w:tcPr>
            <w:tcW w:type="dxa" w:w="1568"/>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巨噬细胞主导功能态与关键事件</w:t>
            </w:r>
          </w:p>
        </w:tc>
        <w:tc>
          <w:tcPr>
            <w:tcW w:type="dxa" w:w="1568"/>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筋伤修复进程刻度[76,75] ‖ 中药用药分期[7]</w:t>
            </w:r>
          </w:p>
        </w:tc>
        <w:tc>
          <w:tcPr>
            <w:tcW w:type="dxa" w:w="1568"/>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治法</w:t>
            </w:r>
          </w:p>
        </w:tc>
        <w:tc>
          <w:tcPr>
            <w:tcW w:type="dxa" w:w="1568"/>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代表干预（证据等级）</w:t>
            </w:r>
          </w:p>
        </w:tc>
        <w:tc>
          <w:tcPr>
            <w:tcW w:type="dxa" w:w="1568"/>
            <w:tcBorders>
              <w:top w:val="single" w:sz="12" w:color="000000"/>
              <w:bottom w:val="single" w:sz="6" w:color="000000"/>
              <w:left w:val="nil"/>
              <w:right w:val="nil"/>
            </w:tcBorders>
          </w:tcPr>
          <w:p>
            <w:pPr>
              <w:spacing w:before="40" w:after="40"/>
              <w:jc w:val="center"/>
            </w:pPr>
            <w:r>
              <w:rPr>
                <w:rFonts w:ascii="Times New Roman" w:hAnsi="Times New Roman" w:eastAsia="宋体"/>
                <w:b/>
                <w:sz w:val="18"/>
              </w:rPr>
              <w:t>证据缺口</w:t>
            </w:r>
          </w:p>
        </w:tc>
      </w:tr>
      <w:tr>
        <w:tc>
          <w:tcPr>
            <w:tcW w:type="dxa" w:w="1568"/>
            <w:tcBorders>
              <w:top w:val="nil"/>
              <w:bottom w:val="nil"/>
              <w:left w:val="nil"/>
              <w:right w:val="nil"/>
            </w:tcBorders>
          </w:tcPr>
          <w:p>
            <w:pPr>
              <w:spacing w:before="40" w:after="40"/>
            </w:pPr>
            <w:r>
              <w:rPr>
                <w:rFonts w:ascii="Times New Roman" w:hAnsi="Times New Roman" w:eastAsia="宋体"/>
                <w:b/>
                <w:sz w:val="18"/>
              </w:rPr>
              <w:t>0～24 h</w:t>
            </w:r>
          </w:p>
        </w:tc>
        <w:tc>
          <w:tcPr>
            <w:tcW w:type="dxa" w:w="1568"/>
            <w:tcBorders>
              <w:top w:val="nil"/>
              <w:bottom w:val="nil"/>
              <w:left w:val="nil"/>
              <w:right w:val="nil"/>
            </w:tcBorders>
          </w:tcPr>
          <w:p>
            <w:pPr>
              <w:spacing w:before="40" w:after="40"/>
            </w:pPr>
            <w:r>
              <w:rPr>
                <w:rFonts w:ascii="Times New Roman" w:hAnsi="Times New Roman" w:eastAsia="宋体"/>
                <w:b w:val="0"/>
                <w:sz w:val="18"/>
              </w:rPr>
              <w:t>M1 起始；DAMPs-TLR4/NLRP3 激活；中性粒细胞 6～24 h 达峰</w:t>
            </w:r>
          </w:p>
        </w:tc>
        <w:tc>
          <w:tcPr>
            <w:tcW w:type="dxa" w:w="1568"/>
            <w:tcBorders>
              <w:top w:val="nil"/>
              <w:bottom w:val="nil"/>
              <w:left w:val="nil"/>
              <w:right w:val="nil"/>
            </w:tcBorders>
          </w:tcPr>
          <w:p>
            <w:pPr>
              <w:spacing w:before="40" w:after="40"/>
            </w:pPr>
            <w:r>
              <w:rPr>
                <w:rFonts w:ascii="Times New Roman" w:hAnsi="Times New Roman" w:eastAsia="宋体"/>
                <w:b w:val="0"/>
                <w:sz w:val="18"/>
              </w:rPr>
              <w:t>炎症期（≤72 h）[76] ‖ 初期（1～2 w）[7]</w:t>
            </w:r>
          </w:p>
        </w:tc>
        <w:tc>
          <w:tcPr>
            <w:tcW w:type="dxa" w:w="1568"/>
            <w:tcBorders>
              <w:top w:val="nil"/>
              <w:bottom w:val="nil"/>
              <w:left w:val="nil"/>
              <w:right w:val="nil"/>
            </w:tcBorders>
          </w:tcPr>
          <w:p>
            <w:pPr>
              <w:spacing w:before="40" w:after="40"/>
            </w:pPr>
            <w:r>
              <w:rPr>
                <w:rFonts w:ascii="Times New Roman" w:hAnsi="Times New Roman" w:eastAsia="宋体"/>
                <w:b w:val="0"/>
                <w:sz w:val="18"/>
              </w:rPr>
              <w:t>消：行气活血、清热消肿</w:t>
            </w:r>
          </w:p>
        </w:tc>
        <w:tc>
          <w:tcPr>
            <w:tcW w:type="dxa" w:w="1568"/>
            <w:tcBorders>
              <w:top w:val="nil"/>
              <w:bottom w:val="nil"/>
              <w:left w:val="nil"/>
              <w:right w:val="nil"/>
            </w:tcBorders>
          </w:tcPr>
          <w:p>
            <w:pPr>
              <w:spacing w:before="40" w:after="40"/>
            </w:pPr>
            <w:r>
              <w:rPr>
                <w:rFonts w:ascii="Times New Roman" w:hAnsi="Times New Roman" w:eastAsia="宋体"/>
                <w:b w:val="0"/>
                <w:sz w:val="18"/>
              </w:rPr>
              <w:t>栀黄膏外用（</w:t>
            </w:r>
            <w:r>
              <w:rPr>
                <w:rFonts w:ascii="Times New Roman" w:hAnsi="Times New Roman" w:eastAsia="宋体"/>
                <w:b/>
                <w:sz w:val="18"/>
              </w:rPr>
              <w:t>α</w:t>
            </w:r>
            <w:r>
              <w:rPr>
                <w:rFonts w:ascii="Times New Roman" w:hAnsi="Times New Roman" w:eastAsia="宋体"/>
                <w:b w:val="0"/>
                <w:sz w:val="18"/>
              </w:rPr>
              <w:t>）[8]；槲皮素（β）[83]</w:t>
            </w:r>
          </w:p>
        </w:tc>
        <w:tc>
          <w:tcPr>
            <w:tcW w:type="dxa" w:w="1568"/>
            <w:tcBorders>
              <w:top w:val="nil"/>
              <w:bottom w:val="nil"/>
              <w:left w:val="nil"/>
              <w:right w:val="nil"/>
            </w:tcBorders>
          </w:tcPr>
          <w:p>
            <w:pPr>
              <w:spacing w:before="40" w:after="40"/>
            </w:pPr>
            <w:r>
              <w:rPr>
                <w:rFonts w:ascii="Times New Roman" w:hAnsi="Times New Roman" w:eastAsia="宋体"/>
                <w:b w:val="0"/>
                <w:sz w:val="18"/>
              </w:rPr>
              <w:t>给药时相几乎无报告；无 ASTI 原位给药时程数据</w:t>
            </w:r>
          </w:p>
        </w:tc>
      </w:tr>
      <w:tr>
        <w:tc>
          <w:tcPr>
            <w:tcW w:type="dxa" w:w="1568"/>
            <w:tcBorders>
              <w:top w:val="nil"/>
              <w:bottom w:val="nil"/>
              <w:left w:val="nil"/>
              <w:right w:val="nil"/>
            </w:tcBorders>
          </w:tcPr>
          <w:p>
            <w:pPr>
              <w:spacing w:before="40" w:after="40"/>
            </w:pPr>
            <w:r>
              <w:rPr>
                <w:rFonts w:ascii="Times New Roman" w:hAnsi="Times New Roman" w:eastAsia="宋体"/>
                <w:b/>
                <w:sz w:val="18"/>
              </w:rPr>
              <w:t>24～72 h</w:t>
            </w:r>
          </w:p>
        </w:tc>
        <w:tc>
          <w:tcPr>
            <w:tcW w:type="dxa" w:w="1568"/>
            <w:tcBorders>
              <w:top w:val="nil"/>
              <w:bottom w:val="nil"/>
              <w:left w:val="nil"/>
              <w:right w:val="nil"/>
            </w:tcBorders>
          </w:tcPr>
          <w:p>
            <w:pPr>
              <w:spacing w:before="40" w:after="40"/>
            </w:pPr>
            <w:r>
              <w:rPr>
                <w:rFonts w:ascii="Times New Roman" w:hAnsi="Times New Roman" w:eastAsia="宋体"/>
                <w:b w:val="0"/>
                <w:sz w:val="18"/>
              </w:rPr>
              <w:t>M1 高峰；ROS/NO 爆发、蛋白水解酶释放、清创</w:t>
            </w:r>
          </w:p>
        </w:tc>
        <w:tc>
          <w:tcPr>
            <w:tcW w:type="dxa" w:w="1568"/>
            <w:tcBorders>
              <w:top w:val="nil"/>
              <w:bottom w:val="nil"/>
              <w:left w:val="nil"/>
              <w:right w:val="nil"/>
            </w:tcBorders>
          </w:tcPr>
          <w:p>
            <w:pPr>
              <w:spacing w:before="40" w:after="40"/>
            </w:pPr>
            <w:r>
              <w:rPr>
                <w:rFonts w:ascii="Times New Roman" w:hAnsi="Times New Roman" w:eastAsia="宋体"/>
                <w:b w:val="0"/>
                <w:sz w:val="18"/>
              </w:rPr>
              <w:t>初期 ‖ 初期（1～2 w）</w:t>
            </w:r>
          </w:p>
        </w:tc>
        <w:tc>
          <w:tcPr>
            <w:tcW w:type="dxa" w:w="1568"/>
            <w:tcBorders>
              <w:top w:val="nil"/>
              <w:bottom w:val="nil"/>
              <w:left w:val="nil"/>
              <w:right w:val="nil"/>
            </w:tcBorders>
          </w:tcPr>
          <w:p>
            <w:pPr>
              <w:spacing w:before="40" w:after="40"/>
            </w:pPr>
            <w:r>
              <w:rPr>
                <w:rFonts w:ascii="Times New Roman" w:hAnsi="Times New Roman" w:eastAsia="宋体"/>
                <w:b w:val="0"/>
                <w:sz w:val="18"/>
              </w:rPr>
              <w:t>消：活血化瘀、攻逐瘀滞</w:t>
            </w:r>
          </w:p>
        </w:tc>
        <w:tc>
          <w:tcPr>
            <w:tcW w:type="dxa" w:w="1568"/>
            <w:tcBorders>
              <w:top w:val="nil"/>
              <w:bottom w:val="nil"/>
              <w:left w:val="nil"/>
              <w:right w:val="nil"/>
            </w:tcBorders>
          </w:tcPr>
          <w:p>
            <w:pPr>
              <w:spacing w:before="40" w:after="40"/>
            </w:pPr>
            <w:r>
              <w:rPr>
                <w:rFonts w:ascii="Times New Roman" w:hAnsi="Times New Roman" w:eastAsia="宋体"/>
                <w:b w:val="0"/>
                <w:sz w:val="18"/>
              </w:rPr>
              <w:t>血府逐瘀汤、桃红四物汤（β）[81,82]；丹参酮 IIA（β）[87]；HSYA（β）[88,89]</w:t>
            </w:r>
          </w:p>
        </w:tc>
        <w:tc>
          <w:tcPr>
            <w:tcW w:type="dxa" w:w="1568"/>
            <w:tcBorders>
              <w:top w:val="nil"/>
              <w:bottom w:val="nil"/>
              <w:left w:val="nil"/>
              <w:right w:val="nil"/>
            </w:tcBorders>
          </w:tcPr>
          <w:p>
            <w:pPr>
              <w:spacing w:before="40" w:after="40"/>
            </w:pPr>
            <w:r>
              <w:rPr>
                <w:rFonts w:ascii="Times New Roman" w:hAnsi="Times New Roman" w:eastAsia="宋体"/>
                <w:b/>
                <w:sz w:val="18"/>
              </w:rPr>
              <w:t>不宜过度压制 M1</w:t>
            </w:r>
            <w:r>
              <w:rPr>
                <w:rFonts w:ascii="Times New Roman" w:hAnsi="Times New Roman" w:eastAsia="宋体"/>
                <w:b w:val="0"/>
                <w:sz w:val="18"/>
              </w:rPr>
              <w:t>；目标应是"促消退"而非"抗炎"</w:t>
            </w:r>
          </w:p>
        </w:tc>
      </w:tr>
      <w:tr>
        <w:tc>
          <w:tcPr>
            <w:tcW w:type="dxa" w:w="1568"/>
            <w:tcBorders>
              <w:top w:val="nil"/>
              <w:bottom w:val="nil"/>
              <w:left w:val="nil"/>
              <w:right w:val="nil"/>
            </w:tcBorders>
          </w:tcPr>
          <w:p>
            <w:pPr>
              <w:spacing w:before="40" w:after="40"/>
            </w:pPr>
            <w:r>
              <w:rPr>
                <w:rFonts w:ascii="Times New Roman" w:hAnsi="Times New Roman" w:eastAsia="宋体"/>
                <w:b/>
                <w:sz w:val="18"/>
              </w:rPr>
              <w:t>3～7 d</w:t>
            </w:r>
            <w:r>
              <w:rPr>
                <w:rFonts w:ascii="Times New Roman" w:hAnsi="Times New Roman" w:eastAsia="宋体"/>
                <w:b w:val="0"/>
                <w:sz w:val="18"/>
              </w:rPr>
              <w:t xml:space="preserve"> ⭐</w:t>
            </w:r>
          </w:p>
        </w:tc>
        <w:tc>
          <w:tcPr>
            <w:tcW w:type="dxa" w:w="1568"/>
            <w:tcBorders>
              <w:top w:val="nil"/>
              <w:bottom w:val="nil"/>
              <w:left w:val="nil"/>
              <w:right w:val="nil"/>
            </w:tcBorders>
          </w:tcPr>
          <w:p>
            <w:pPr>
              <w:spacing w:before="40" w:after="40"/>
            </w:pPr>
            <w:r>
              <w:rPr>
                <w:rFonts w:ascii="Times New Roman" w:hAnsi="Times New Roman" w:eastAsia="宋体"/>
                <w:b/>
                <w:sz w:val="18"/>
              </w:rPr>
              <w:t>M1→M2 转换窗</w:t>
            </w:r>
            <w:r>
              <w:rPr>
                <w:rFonts w:ascii="Times New Roman" w:hAnsi="Times New Roman" w:eastAsia="宋体"/>
                <w:b w:val="0"/>
                <w:sz w:val="18"/>
              </w:rPr>
              <w:t>；胞葬活跃（MerTK/Tim4/αvβ3）；SPMs 升高；STAT1/STAT6 平衡；糖酵解↓/FAO↑ 交叉点</w:t>
            </w:r>
          </w:p>
        </w:tc>
        <w:tc>
          <w:tcPr>
            <w:tcW w:type="dxa" w:w="1568"/>
            <w:tcBorders>
              <w:top w:val="nil"/>
              <w:bottom w:val="nil"/>
              <w:left w:val="nil"/>
              <w:right w:val="nil"/>
            </w:tcBorders>
          </w:tcPr>
          <w:p>
            <w:pPr>
              <w:spacing w:before="40" w:after="40"/>
            </w:pPr>
            <w:r>
              <w:rPr>
                <w:rFonts w:ascii="Times New Roman" w:hAnsi="Times New Roman" w:eastAsia="宋体"/>
                <w:b/>
                <w:sz w:val="18"/>
              </w:rPr>
              <w:t>增殖期起点（伤后 3 d）</w:t>
            </w:r>
            <w:r>
              <w:rPr>
                <w:rFonts w:ascii="Times New Roman" w:hAnsi="Times New Roman" w:eastAsia="宋体"/>
                <w:b w:val="0"/>
                <w:sz w:val="18"/>
              </w:rPr>
              <w:t>[76] ‖ 三期用药分期仍属初期（1～2 w）[7]；2024 筋伤域共识仍属"早期"（1 周内，凉血止血）[77]——</w:t>
            </w:r>
            <w:r>
              <w:rPr>
                <w:rFonts w:ascii="Times New Roman" w:hAnsi="Times New Roman" w:eastAsia="宋体"/>
                <w:b/>
                <w:sz w:val="18"/>
              </w:rPr>
              <w:t>修复进程刻度已与此窗对齐，而两套给药分期均未在此设界，此窗因而长期未被对准</w:t>
            </w:r>
          </w:p>
        </w:tc>
        <w:tc>
          <w:tcPr>
            <w:tcW w:type="dxa" w:w="1568"/>
            <w:tcBorders>
              <w:top w:val="nil"/>
              <w:bottom w:val="nil"/>
              <w:left w:val="nil"/>
              <w:right w:val="nil"/>
            </w:tcBorders>
          </w:tcPr>
          <w:p>
            <w:pPr>
              <w:spacing w:before="40" w:after="40"/>
            </w:pPr>
            <w:r>
              <w:rPr>
                <w:rFonts w:ascii="Times New Roman" w:hAnsi="Times New Roman" w:eastAsia="宋体"/>
                <w:b/>
                <w:sz w:val="18"/>
              </w:rPr>
              <w:t>和</w:t>
            </w:r>
            <w:r>
              <w:rPr>
                <w:rFonts w:ascii="Times New Roman" w:hAnsi="Times New Roman" w:eastAsia="宋体"/>
                <w:b w:val="0"/>
                <w:sz w:val="18"/>
              </w:rPr>
              <w:t>：和营生新</w:t>
            </w:r>
          </w:p>
        </w:tc>
        <w:tc>
          <w:tcPr>
            <w:tcW w:type="dxa" w:w="1568"/>
            <w:tcBorders>
              <w:top w:val="nil"/>
              <w:bottom w:val="nil"/>
              <w:left w:val="nil"/>
              <w:right w:val="nil"/>
            </w:tcBorders>
          </w:tcPr>
          <w:p>
            <w:pPr>
              <w:spacing w:before="40" w:after="40"/>
            </w:pPr>
            <w:r>
              <w:rPr>
                <w:rFonts w:ascii="Times New Roman" w:hAnsi="Times New Roman" w:eastAsia="宋体"/>
                <w:b/>
                <w:sz w:val="18"/>
              </w:rPr>
              <w:t>电针（α，效应峰落于本窗）[17,18]</w:t>
            </w:r>
            <w:r>
              <w:rPr>
                <w:rFonts w:ascii="Times New Roman" w:hAnsi="Times New Roman" w:eastAsia="宋体"/>
                <w:b w:val="0"/>
                <w:sz w:val="18"/>
              </w:rPr>
              <w:t>；</w:t>
            </w:r>
            <w:r>
              <w:rPr>
                <w:rFonts w:ascii="Times New Roman" w:hAnsi="Times New Roman" w:eastAsia="宋体"/>
                <w:b/>
                <w:sz w:val="18"/>
              </w:rPr>
              <w:t>推拿（经验性择时：多数实验将起始定于伤后 24 h–3 d[21,22]；力学同源干预证实起始时点显著影响疗效[20]）</w:t>
            </w:r>
            <w:r>
              <w:rPr>
                <w:rFonts w:ascii="Times New Roman" w:hAnsi="Times New Roman" w:eastAsia="宋体"/>
                <w:b w:val="0"/>
                <w:sz w:val="18"/>
              </w:rPr>
              <w:t>；小檗碱（β）[71,72]；黄芪甲苷 IV（β）[67,68]；三七皂苷 R1（β）[69]；人参皂苷 Rb1/Rg1（β）[70]；薯蓣皂苷（β）[70]；青藤碱（β）[96,103]</w:t>
            </w:r>
          </w:p>
        </w:tc>
        <w:tc>
          <w:tcPr>
            <w:tcW w:type="dxa" w:w="1568"/>
            <w:tcBorders>
              <w:top w:val="nil"/>
              <w:bottom w:val="nil"/>
              <w:left w:val="nil"/>
              <w:right w:val="nil"/>
            </w:tcBorders>
          </w:tcPr>
          <w:p>
            <w:pPr>
              <w:spacing w:before="40" w:after="40"/>
            </w:pPr>
            <w:r>
              <w:rPr>
                <w:rFonts w:ascii="Times New Roman" w:hAnsi="Times New Roman" w:eastAsia="宋体"/>
                <w:b/>
                <w:sz w:val="18"/>
              </w:rPr>
              <w:t>电针证据已显示效应峰与本窗重合，但起始时点未设为变量；中药一侧已有筋伤原位模型证据（Parishin A，肌腱病[19]），然未作时相分层</w:t>
            </w:r>
          </w:p>
        </w:tc>
      </w:tr>
      <w:tr>
        <w:tc>
          <w:tcPr>
            <w:tcW w:type="dxa" w:w="1568"/>
            <w:tcBorders>
              <w:top w:val="nil"/>
              <w:bottom w:val="nil"/>
              <w:left w:val="nil"/>
              <w:right w:val="nil"/>
            </w:tcBorders>
          </w:tcPr>
          <w:p>
            <w:pPr>
              <w:spacing w:before="40" w:after="40"/>
            </w:pPr>
            <w:r>
              <w:rPr>
                <w:rFonts w:ascii="Times New Roman" w:hAnsi="Times New Roman" w:eastAsia="宋体"/>
                <w:b/>
                <w:sz w:val="18"/>
              </w:rPr>
              <w:t>1～2 w</w:t>
            </w:r>
          </w:p>
        </w:tc>
        <w:tc>
          <w:tcPr>
            <w:tcW w:type="dxa" w:w="1568"/>
            <w:tcBorders>
              <w:top w:val="nil"/>
              <w:bottom w:val="nil"/>
              <w:left w:val="nil"/>
              <w:right w:val="nil"/>
            </w:tcBorders>
          </w:tcPr>
          <w:p>
            <w:pPr>
              <w:spacing w:before="40" w:after="40"/>
            </w:pPr>
            <w:r>
              <w:rPr>
                <w:rFonts w:ascii="Times New Roman" w:hAnsi="Times New Roman" w:eastAsia="宋体"/>
                <w:b w:val="0"/>
                <w:sz w:val="18"/>
              </w:rPr>
              <w:t>M2 主导；IL-10/TGF-β/VEGF/IGF-1；肌卫星细胞激活；GPNMB</w:t>
            </w:r>
            <w:r>
              <w:rPr>
                <w:rFonts w:ascii="Times New Roman" w:hAnsi="Times New Roman" w:eastAsia="宋体"/>
                <w:b w:val="0"/>
                <w:sz w:val="18"/>
                <w:vertAlign w:val="superscript"/>
              </w:rPr>
              <w:t>hi</w:t>
            </w:r>
            <w:r>
              <w:rPr>
                <w:rFonts w:ascii="Times New Roman" w:hAnsi="Times New Roman" w:eastAsia="宋体"/>
                <w:b w:val="0"/>
                <w:sz w:val="18"/>
              </w:rPr>
              <w:t xml:space="preserve"> 亚群峰值已过</w:t>
            </w:r>
          </w:p>
        </w:tc>
        <w:tc>
          <w:tcPr>
            <w:tcW w:type="dxa" w:w="1568"/>
            <w:tcBorders>
              <w:top w:val="nil"/>
              <w:bottom w:val="nil"/>
              <w:left w:val="nil"/>
              <w:right w:val="nil"/>
            </w:tcBorders>
          </w:tcPr>
          <w:p>
            <w:pPr>
              <w:spacing w:before="40" w:after="40"/>
            </w:pPr>
            <w:r>
              <w:rPr>
                <w:rFonts w:ascii="Times New Roman" w:hAnsi="Times New Roman" w:eastAsia="宋体"/>
                <w:b w:val="0"/>
                <w:sz w:val="18"/>
              </w:rPr>
              <w:t>增殖期（3 d–15 d）[76]；再生机化期（2～4 w）[75] ‖ 中期（3～6 w）[7]</w:t>
            </w:r>
          </w:p>
        </w:tc>
        <w:tc>
          <w:tcPr>
            <w:tcW w:type="dxa" w:w="1568"/>
            <w:tcBorders>
              <w:top w:val="nil"/>
              <w:bottom w:val="nil"/>
              <w:left w:val="nil"/>
              <w:right w:val="nil"/>
            </w:tcBorders>
          </w:tcPr>
          <w:p>
            <w:pPr>
              <w:spacing w:before="40" w:after="40"/>
            </w:pPr>
            <w:r>
              <w:rPr>
                <w:rFonts w:ascii="Times New Roman" w:hAnsi="Times New Roman" w:eastAsia="宋体"/>
                <w:b w:val="0"/>
                <w:sz w:val="18"/>
              </w:rPr>
              <w:t>和：接骨续筋、和营止痛</w:t>
            </w:r>
          </w:p>
        </w:tc>
        <w:tc>
          <w:tcPr>
            <w:tcW w:type="dxa" w:w="1568"/>
            <w:tcBorders>
              <w:top w:val="nil"/>
              <w:bottom w:val="nil"/>
              <w:left w:val="nil"/>
              <w:right w:val="nil"/>
            </w:tcBorders>
          </w:tcPr>
          <w:p>
            <w:pPr>
              <w:spacing w:before="40" w:after="40"/>
            </w:pPr>
            <w:r>
              <w:rPr>
                <w:rFonts w:ascii="Times New Roman" w:hAnsi="Times New Roman" w:eastAsia="宋体"/>
                <w:b w:val="0"/>
                <w:sz w:val="18"/>
              </w:rPr>
              <w:t>补阳还五汤（β）[92]；黄连解毒汤（β）[93]</w:t>
            </w:r>
          </w:p>
        </w:tc>
        <w:tc>
          <w:tcPr>
            <w:tcW w:type="dxa" w:w="1568"/>
            <w:tcBorders>
              <w:top w:val="nil"/>
              <w:bottom w:val="nil"/>
              <w:left w:val="nil"/>
              <w:right w:val="nil"/>
            </w:tcBorders>
          </w:tcPr>
          <w:p>
            <w:pPr>
              <w:spacing w:before="40" w:after="40"/>
            </w:pPr>
            <w:r>
              <w:rPr>
                <w:rFonts w:ascii="Times New Roman" w:hAnsi="Times New Roman" w:eastAsia="宋体"/>
                <w:b w:val="0"/>
                <w:sz w:val="18"/>
              </w:rPr>
              <w:t xml:space="preserve">需维持 M2 </w:t>
            </w:r>
            <w:r>
              <w:rPr>
                <w:rFonts w:ascii="Times New Roman" w:hAnsi="Times New Roman" w:eastAsia="宋体"/>
                <w:b/>
                <w:sz w:val="18"/>
              </w:rPr>
              <w:t>功能质量</w:t>
            </w:r>
            <w:r>
              <w:rPr>
                <w:rFonts w:ascii="Times New Roman" w:hAnsi="Times New Roman" w:eastAsia="宋体"/>
                <w:b w:val="0"/>
                <w:sz w:val="18"/>
              </w:rPr>
              <w:t>而非数量；缺乏时程化评价</w:t>
            </w:r>
          </w:p>
        </w:tc>
      </w:tr>
      <w:tr>
        <w:tc>
          <w:tcPr>
            <w:tcW w:type="dxa" w:w="1568"/>
            <w:tcBorders>
              <w:top w:val="nil"/>
              <w:bottom w:val="nil"/>
              <w:left w:val="nil"/>
              <w:right w:val="nil"/>
            </w:tcBorders>
          </w:tcPr>
          <w:p>
            <w:pPr>
              <w:spacing w:before="40" w:after="40"/>
            </w:pPr>
            <w:r>
              <w:rPr>
                <w:rFonts w:ascii="Times New Roman" w:hAnsi="Times New Roman" w:eastAsia="宋体"/>
                <w:b/>
                <w:sz w:val="18"/>
              </w:rPr>
              <w:t>2～6 w</w:t>
            </w:r>
          </w:p>
        </w:tc>
        <w:tc>
          <w:tcPr>
            <w:tcW w:type="dxa" w:w="1568"/>
            <w:tcBorders>
              <w:top w:val="nil"/>
              <w:bottom w:val="nil"/>
              <w:left w:val="nil"/>
              <w:right w:val="nil"/>
            </w:tcBorders>
          </w:tcPr>
          <w:p>
            <w:pPr>
              <w:spacing w:before="40" w:after="40"/>
            </w:pPr>
            <w:r>
              <w:rPr>
                <w:rFonts w:ascii="Times New Roman" w:hAnsi="Times New Roman" w:eastAsia="宋体"/>
                <w:b w:val="0"/>
                <w:sz w:val="18"/>
              </w:rPr>
              <w:t>基质改建；Ⅲ→Ⅰ型胶原转换；MMPs/TIMPs 平衡</w:t>
            </w:r>
          </w:p>
        </w:tc>
        <w:tc>
          <w:tcPr>
            <w:tcW w:type="dxa" w:w="1568"/>
            <w:tcBorders>
              <w:top w:val="nil"/>
              <w:bottom w:val="nil"/>
              <w:left w:val="nil"/>
              <w:right w:val="nil"/>
            </w:tcBorders>
          </w:tcPr>
          <w:p>
            <w:pPr>
              <w:spacing w:before="40" w:after="40"/>
            </w:pPr>
            <w:r>
              <w:rPr>
                <w:rFonts w:ascii="Times New Roman" w:hAnsi="Times New Roman" w:eastAsia="宋体"/>
                <w:b w:val="0"/>
                <w:sz w:val="18"/>
              </w:rPr>
              <w:t>增殖期延展（最迟 6 w）[76] ‖ 中期偏后[7]</w:t>
            </w:r>
          </w:p>
        </w:tc>
        <w:tc>
          <w:tcPr>
            <w:tcW w:type="dxa" w:w="1568"/>
            <w:tcBorders>
              <w:top w:val="nil"/>
              <w:bottom w:val="nil"/>
              <w:left w:val="nil"/>
              <w:right w:val="nil"/>
            </w:tcBorders>
          </w:tcPr>
          <w:p>
            <w:pPr>
              <w:spacing w:before="40" w:after="40"/>
            </w:pPr>
            <w:r>
              <w:rPr>
                <w:rFonts w:ascii="Times New Roman" w:hAnsi="Times New Roman" w:eastAsia="宋体"/>
                <w:b w:val="0"/>
                <w:sz w:val="18"/>
              </w:rPr>
              <w:t>和 → 补过渡</w:t>
            </w:r>
          </w:p>
        </w:tc>
        <w:tc>
          <w:tcPr>
            <w:tcW w:type="dxa" w:w="1568"/>
            <w:tcBorders>
              <w:top w:val="nil"/>
              <w:bottom w:val="nil"/>
              <w:left w:val="nil"/>
              <w:right w:val="nil"/>
            </w:tcBorders>
          </w:tcPr>
          <w:p>
            <w:pPr>
              <w:spacing w:before="40" w:after="40"/>
            </w:pPr>
            <w:r>
              <w:rPr>
                <w:rFonts w:ascii="Times New Roman" w:hAnsi="Times New Roman" w:eastAsia="宋体"/>
                <w:b w:val="0"/>
                <w:sz w:val="18"/>
              </w:rPr>
              <w:t>真武汤（β，抗纤维化）[73]；阿魏酸（β）[74]</w:t>
            </w:r>
          </w:p>
        </w:tc>
        <w:tc>
          <w:tcPr>
            <w:tcW w:type="dxa" w:w="1568"/>
            <w:tcBorders>
              <w:top w:val="nil"/>
              <w:bottom w:val="nil"/>
              <w:left w:val="nil"/>
              <w:right w:val="nil"/>
            </w:tcBorders>
          </w:tcPr>
          <w:p>
            <w:pPr>
              <w:spacing w:before="40" w:after="40"/>
            </w:pPr>
            <w:r>
              <w:rPr>
                <w:rFonts w:ascii="Times New Roman" w:hAnsi="Times New Roman" w:eastAsia="宋体"/>
                <w:b w:val="0"/>
                <w:sz w:val="18"/>
              </w:rPr>
              <w:t>均非 ASTI 模型；无力学性能终点</w:t>
            </w:r>
          </w:p>
        </w:tc>
      </w:tr>
      <w:tr>
        <w:tc>
          <w:tcPr>
            <w:tcW w:type="dxa" w:w="1568"/>
            <w:tcBorders>
              <w:top w:val="nil"/>
              <w:bottom w:val="nil"/>
              <w:left w:val="nil"/>
              <w:right w:val="nil"/>
            </w:tcBorders>
          </w:tcPr>
          <w:p>
            <w:pPr>
              <w:spacing w:before="40" w:after="40"/>
            </w:pPr>
            <w:r>
              <w:rPr>
                <w:rFonts w:ascii="Times New Roman" w:hAnsi="Times New Roman" w:eastAsia="宋体"/>
                <w:b/>
                <w:sz w:val="18"/>
              </w:rPr>
              <w:t>≥7 w</w:t>
            </w:r>
          </w:p>
        </w:tc>
        <w:tc>
          <w:tcPr>
            <w:tcW w:type="dxa" w:w="1568"/>
            <w:tcBorders>
              <w:top w:val="nil"/>
              <w:bottom w:val="nil"/>
              <w:left w:val="nil"/>
              <w:right w:val="nil"/>
            </w:tcBorders>
          </w:tcPr>
          <w:p>
            <w:pPr>
              <w:spacing w:before="40" w:after="40"/>
            </w:pPr>
            <w:r>
              <w:rPr>
                <w:rFonts w:ascii="Times New Roman" w:hAnsi="Times New Roman" w:eastAsia="宋体"/>
                <w:b w:val="0"/>
                <w:sz w:val="18"/>
              </w:rPr>
              <w:t>瘢痕成熟；Trem2</w:t>
            </w:r>
            <w:r>
              <w:rPr>
                <w:rFonts w:ascii="Times New Roman" w:hAnsi="Times New Roman" w:eastAsia="宋体"/>
                <w:b w:val="0"/>
                <w:sz w:val="18"/>
                <w:vertAlign w:val="superscript"/>
              </w:rPr>
              <w:t>high</w:t>
            </w:r>
            <w:r>
              <w:rPr>
                <w:rFonts w:ascii="Times New Roman" w:hAnsi="Times New Roman" w:eastAsia="宋体"/>
                <w:b w:val="0"/>
                <w:sz w:val="18"/>
              </w:rPr>
              <w:t xml:space="preserve"> 巨噬细胞限制过度纤维化[41]</w:t>
            </w:r>
          </w:p>
        </w:tc>
        <w:tc>
          <w:tcPr>
            <w:tcW w:type="dxa" w:w="1568"/>
            <w:tcBorders>
              <w:top w:val="nil"/>
              <w:bottom w:val="nil"/>
              <w:left w:val="nil"/>
              <w:right w:val="nil"/>
            </w:tcBorders>
          </w:tcPr>
          <w:p>
            <w:pPr>
              <w:spacing w:before="40" w:after="40"/>
            </w:pPr>
            <w:r>
              <w:rPr>
                <w:rFonts w:ascii="Times New Roman" w:hAnsi="Times New Roman" w:eastAsia="宋体"/>
                <w:b w:val="0"/>
                <w:sz w:val="18"/>
              </w:rPr>
              <w:t>重塑期（6～12 w）[76]；功能重塑期（7 w–1 y）[75] ‖ 后期（≥7 w）[7]</w:t>
            </w:r>
          </w:p>
        </w:tc>
        <w:tc>
          <w:tcPr>
            <w:tcW w:type="dxa" w:w="1568"/>
            <w:tcBorders>
              <w:top w:val="nil"/>
              <w:bottom w:val="nil"/>
              <w:left w:val="nil"/>
              <w:right w:val="nil"/>
            </w:tcBorders>
          </w:tcPr>
          <w:p>
            <w:pPr>
              <w:spacing w:before="40" w:after="40"/>
            </w:pPr>
            <w:r>
              <w:rPr>
                <w:rFonts w:ascii="Times New Roman" w:hAnsi="Times New Roman" w:eastAsia="宋体"/>
                <w:b/>
                <w:sz w:val="18"/>
              </w:rPr>
              <w:t>补</w:t>
            </w:r>
            <w:r>
              <w:rPr>
                <w:rFonts w:ascii="Times New Roman" w:hAnsi="Times New Roman" w:eastAsia="宋体"/>
                <w:b w:val="0"/>
                <w:sz w:val="18"/>
              </w:rPr>
              <w:t>：补益肝肾、强筋壮骨</w:t>
            </w:r>
          </w:p>
        </w:tc>
        <w:tc>
          <w:tcPr>
            <w:tcW w:type="dxa" w:w="1568"/>
            <w:tcBorders>
              <w:top w:val="nil"/>
              <w:bottom w:val="nil"/>
              <w:left w:val="nil"/>
              <w:right w:val="nil"/>
            </w:tcBorders>
          </w:tcPr>
          <w:p>
            <w:pPr>
              <w:spacing w:before="40" w:after="40"/>
            </w:pPr>
            <w:r>
              <w:rPr>
                <w:rFonts w:ascii="Times New Roman" w:hAnsi="Times New Roman" w:eastAsia="宋体"/>
                <w:b/>
                <w:sz w:val="18"/>
              </w:rPr>
              <w:t>空缺（γ）</w:t>
            </w:r>
          </w:p>
        </w:tc>
        <w:tc>
          <w:tcPr>
            <w:tcW w:type="dxa" w:w="1568"/>
            <w:tcBorders>
              <w:top w:val="nil"/>
              <w:bottom w:val="nil"/>
              <w:left w:val="nil"/>
              <w:right w:val="nil"/>
            </w:tcBorders>
          </w:tcPr>
          <w:p>
            <w:pPr>
              <w:spacing w:before="40" w:after="40"/>
            </w:pPr>
            <w:r>
              <w:rPr>
                <w:rFonts w:ascii="Times New Roman" w:hAnsi="Times New Roman" w:eastAsia="宋体"/>
                <w:b/>
                <w:sz w:val="18"/>
              </w:rPr>
              <w:t>证据空缺</w:t>
            </w:r>
            <w:r>
              <w:rPr>
                <w:rFonts w:ascii="Times New Roman" w:hAnsi="Times New Roman" w:eastAsia="宋体"/>
                <w:b w:val="0"/>
                <w:sz w:val="18"/>
              </w:rPr>
              <w:t>：临床常规操作而机制研究阙如</w:t>
            </w:r>
          </w:p>
        </w:tc>
      </w:tr>
      <w:tr>
        <w:tc>
          <w:tcPr>
            <w:tcW w:type="dxa" w:w="1568"/>
            <w:tcBorders>
              <w:top w:val="nil"/>
              <w:bottom w:val="single" w:sz="12" w:color="000000"/>
              <w:left w:val="nil"/>
              <w:right w:val="nil"/>
            </w:tcBorders>
          </w:tcPr>
          <w:p>
            <w:pPr>
              <w:spacing w:before="40" w:after="40"/>
            </w:pPr>
            <w:r>
              <w:rPr>
                <w:rFonts w:ascii="Times New Roman" w:hAnsi="Times New Roman" w:eastAsia="宋体"/>
                <w:b/>
                <w:sz w:val="18"/>
              </w:rPr>
              <w:t>贯穿全程</w:t>
            </w:r>
          </w:p>
        </w:tc>
        <w:tc>
          <w:tcPr>
            <w:tcW w:type="dxa" w:w="1568"/>
            <w:tcBorders>
              <w:top w:val="nil"/>
              <w:bottom w:val="single" w:sz="12" w:color="000000"/>
              <w:left w:val="nil"/>
              <w:right w:val="nil"/>
            </w:tcBorders>
          </w:tcPr>
          <w:p>
            <w:pPr>
              <w:spacing w:before="40" w:after="40"/>
            </w:pPr>
            <w:r>
              <w:rPr>
                <w:rFonts w:ascii="Times New Roman" w:hAnsi="Times New Roman" w:eastAsia="宋体"/>
                <w:b w:val="0"/>
                <w:sz w:val="18"/>
              </w:rPr>
              <w:t>时相失控：M1 持续／转换延迟 → 慢性化；M2 过度 → 纤维化</w:t>
            </w:r>
          </w:p>
        </w:tc>
        <w:tc>
          <w:tcPr>
            <w:tcW w:type="dxa" w:w="1568"/>
            <w:tcBorders>
              <w:top w:val="nil"/>
              <w:bottom w:val="single" w:sz="12" w:color="000000"/>
              <w:left w:val="nil"/>
              <w:right w:val="nil"/>
            </w:tcBorders>
          </w:tcPr>
          <w:p>
            <w:pPr>
              <w:spacing w:before="40" w:after="40"/>
            </w:pPr>
            <w:r>
              <w:rPr>
                <w:rFonts w:ascii="Times New Roman" w:hAnsi="Times New Roman" w:eastAsia="宋体"/>
                <w:b/>
                <w:sz w:val="18"/>
              </w:rPr>
              <w:t>疼痛慢性化</w:t>
            </w:r>
            <w:r>
              <w:rPr>
                <w:rFonts w:ascii="Times New Roman" w:hAnsi="Times New Roman" w:eastAsia="宋体"/>
                <w:b w:val="0"/>
                <w:sz w:val="18"/>
              </w:rPr>
              <w:t>（"疼痛超出正常的组织愈合期限"[76]） ‖ —</w:t>
            </w:r>
          </w:p>
        </w:tc>
        <w:tc>
          <w:tcPr>
            <w:tcW w:type="dxa" w:w="1568"/>
            <w:tcBorders>
              <w:top w:val="nil"/>
              <w:bottom w:val="single" w:sz="12" w:color="000000"/>
              <w:left w:val="nil"/>
              <w:right w:val="nil"/>
            </w:tcBorders>
          </w:tcPr>
          <w:p>
            <w:pPr>
              <w:spacing w:before="40" w:after="40"/>
            </w:pPr>
            <w:r>
              <w:rPr>
                <w:rFonts w:ascii="Times New Roman" w:hAnsi="Times New Roman" w:eastAsia="宋体"/>
                <w:b w:val="0"/>
                <w:sz w:val="18"/>
              </w:rPr>
              <w:t>—</w:t>
            </w:r>
          </w:p>
        </w:tc>
        <w:tc>
          <w:tcPr>
            <w:tcW w:type="dxa" w:w="1568"/>
            <w:tcBorders>
              <w:top w:val="nil"/>
              <w:bottom w:val="single" w:sz="12" w:color="000000"/>
              <w:left w:val="nil"/>
              <w:right w:val="nil"/>
            </w:tcBorders>
          </w:tcPr>
          <w:p>
            <w:pPr>
              <w:spacing w:before="40" w:after="40"/>
            </w:pPr>
            <w:r>
              <w:rPr>
                <w:rFonts w:ascii="Times New Roman" w:hAnsi="Times New Roman" w:eastAsia="宋体"/>
                <w:b w:val="0"/>
                <w:sz w:val="18"/>
              </w:rPr>
              <w:t>刮痧合马桑狗帮油（α*）[104]</w:t>
            </w:r>
          </w:p>
        </w:tc>
        <w:tc>
          <w:tcPr>
            <w:tcW w:type="dxa" w:w="1568"/>
            <w:tcBorders>
              <w:top w:val="nil"/>
              <w:bottom w:val="single" w:sz="12" w:color="000000"/>
              <w:left w:val="nil"/>
              <w:right w:val="nil"/>
            </w:tcBorders>
          </w:tcPr>
          <w:p>
            <w:pPr>
              <w:spacing w:before="40" w:after="40"/>
            </w:pPr>
            <w:r>
              <w:rPr>
                <w:rFonts w:ascii="Times New Roman" w:hAnsi="Times New Roman" w:eastAsia="宋体"/>
                <w:b w:val="0"/>
                <w:sz w:val="18"/>
              </w:rPr>
              <w:t>疗效标志物缺时间维度：建议 CD86/CD206 比值、IL-10/TNF-α 比值、SPM 谱的</w:t>
            </w:r>
            <w:r>
              <w:rPr>
                <w:rFonts w:ascii="Times New Roman" w:hAnsi="Times New Roman" w:eastAsia="宋体"/>
                <w:b/>
                <w:sz w:val="18"/>
              </w:rPr>
              <w:t>动态</w:t>
            </w:r>
            <w:r>
              <w:rPr>
                <w:rFonts w:ascii="Times New Roman" w:hAnsi="Times New Roman" w:eastAsia="宋体"/>
                <w:b w:val="0"/>
                <w:sz w:val="18"/>
              </w:rPr>
              <w:t>监测</w:t>
            </w:r>
          </w:p>
        </w:tc>
      </w:tr>
    </w:tbl>
    <w:p>
      <w:pPr>
        <w:spacing w:before="120" w:after="120" w:line="336" w:lineRule="auto"/>
        <w:ind w:left="425" w:right="425"/>
      </w:pPr>
      <w:r>
        <w:rPr>
          <w:rFonts w:ascii="Times New Roman" w:hAnsi="Times New Roman" w:eastAsia="宋体"/>
          <w:b w:val="0"/>
          <w:color w:val="333333"/>
          <w:sz w:val="20"/>
        </w:rPr>
        <w:t>注：证据等级定义——α 直接来自 ASTI（急性软组织损伤）原位模型；α* 来自慢性软组织损伤模型，其病理转归与急性损伤不同，仅作旁证；β 跨疾病外推（关节炎、心肌、脑、肠、肿瘤等）；γ 机制假设或计算预测，无实验证据。"筋伤修复进程刻度"栏出自《急性闭合性软组织损伤诊疗与疼痛管理专家共识》[76]与《急性外侧踝关节扭伤非手术治疗专家共识（2025版）》[75]；"中药三期用药分期"栏出自《中医筋伤学》内治法[7]；"筋伤域专门分期"栏出自 2024 年《急性外踝韧带损伤中药外治方案专家共识》[77]。三栏区分依据见 4.4 节。</w:t>
      </w:r>
    </w:p>
    <w:p>
      <w:pPr>
        <w:spacing w:after="60" w:line="360" w:lineRule="auto"/>
        <w:ind w:firstLine="420"/>
      </w:pPr>
      <w:r>
        <w:rPr>
          <w:rFonts w:ascii="Times New Roman" w:hAnsi="Times New Roman" w:eastAsia="宋体"/>
          <w:b w:val="0"/>
          <w:sz w:val="21"/>
        </w:rPr>
        <w:t>矩阵的空白处较已填内容更具提示意义：3～7 d 转换窗一栏的中药证据虽多，却均未报告给药时相，无法判断其效应是"促成转换"抑或"延迟转换"；≥7 w 一栏则完全空缺。这两处空白可作为后续研究的优先方向（详见第 7 章）。</w:t>
      </w:r>
    </w:p>
    <w:p>
      <w:pPr>
        <w:spacing w:before="200" w:after="100"/>
      </w:pPr>
      <w:r>
        <w:rPr>
          <w:rFonts w:ascii="Times New Roman" w:hAnsi="Times New Roman" w:eastAsia="黑体"/>
          <w:b/>
          <w:sz w:val="24"/>
        </w:rPr>
        <w:t>6 方法学与转化路径</w:t>
      </w:r>
    </w:p>
    <w:p>
      <w:pPr>
        <w:spacing w:before="160" w:after="100"/>
      </w:pPr>
      <w:r>
        <w:rPr>
          <w:rFonts w:ascii="Times New Roman" w:hAnsi="Times New Roman" w:eastAsia="黑体"/>
          <w:b/>
          <w:sz w:val="21"/>
        </w:rPr>
        <w:t>6.1 外用制剂与给药时点的可操作性</w:t>
      </w:r>
    </w:p>
    <w:p>
      <w:pPr>
        <w:spacing w:after="60" w:line="360" w:lineRule="auto"/>
        <w:ind w:firstLine="420"/>
      </w:pPr>
      <w:r>
        <w:rPr>
          <w:rFonts w:ascii="Times New Roman" w:hAnsi="Times New Roman" w:eastAsia="宋体"/>
          <w:b w:val="0"/>
          <w:sz w:val="21"/>
        </w:rPr>
        <w:t>外用是 ASTI 中药治疗的优势途径，其免疫学价值在于给药时点的可操作性：外用制剂可在损伤当日即开始使用，局部浓度高而系统暴露低，是"择时干预"最易落地的载体，栀黄膏的 Treg 趋化[8]与冲和膏的 PI3K/Akt-NLRP3 通路[79]均属此类。</w:t>
      </w:r>
    </w:p>
    <w:p>
      <w:pPr>
        <w:spacing w:after="60" w:line="360" w:lineRule="auto"/>
        <w:ind w:firstLine="420"/>
      </w:pPr>
      <w:r>
        <w:rPr>
          <w:rFonts w:ascii="Times New Roman" w:hAnsi="Times New Roman" w:eastAsia="宋体"/>
          <w:b w:val="0"/>
          <w:sz w:val="21"/>
        </w:rPr>
        <w:t>递送技术层面，时间可控的给药系统正在出现：小檗碱-阿魏酸自组装纳米粒结合透明质酸微针已实现局部递送与极化调控[105]，人参皂苷 Rg1 与 AS-IV 的纳米制剂亦展现出更高的递送效率[106]。此类系统具备按预设时程释放的潜力，若能以"给药时相—效应"关系反推释放动力学，有望成为验证择时干预假说的关键技术工具。</w:t>
      </w:r>
    </w:p>
    <w:p>
      <w:pPr>
        <w:spacing w:before="160" w:after="100"/>
      </w:pPr>
      <w:r>
        <w:rPr>
          <w:rFonts w:ascii="Times New Roman" w:hAnsi="Times New Roman" w:eastAsia="黑体"/>
          <w:b/>
          <w:sz w:val="21"/>
        </w:rPr>
        <w:t>6.2 时相解析技术：从终点表型走向给药时相</w:t>
      </w:r>
    </w:p>
    <w:p>
      <w:pPr>
        <w:spacing w:after="60" w:line="360" w:lineRule="auto"/>
        <w:ind w:firstLine="420"/>
      </w:pPr>
      <w:r>
        <w:rPr>
          <w:rFonts w:ascii="Times New Roman" w:hAnsi="Times New Roman" w:eastAsia="宋体"/>
          <w:b w:val="0"/>
          <w:sz w:val="21"/>
        </w:rPr>
        <w:t>要在 ASTI 语境中确定"何时给药"，须有能解析时相的方法学支撑。现有组学与人工智能技术在识别靶点与细胞亚群方面已相当成熟，用于解析给药时相者尚属少数。</w:t>
      </w:r>
    </w:p>
    <w:p>
      <w:pPr>
        <w:spacing w:after="60" w:line="360" w:lineRule="auto"/>
        <w:ind w:firstLine="420"/>
      </w:pPr>
      <w:r>
        <w:rPr>
          <w:rFonts w:ascii="Times New Roman" w:hAnsi="Times New Roman" w:eastAsia="宋体"/>
          <w:b w:val="0"/>
          <w:sz w:val="21"/>
        </w:rPr>
        <w:t>单细胞转录组学（scRNA-seq）是刻画时相的核心工具。肌腱损伤修复中，M1 巨噬细胞（Nos2</w:t>
      </w:r>
      <w:r>
        <w:rPr>
          <w:rFonts w:ascii="Times New Roman" w:hAnsi="Times New Roman" w:eastAsia="宋体"/>
          <w:b w:val="0"/>
          <w:sz w:val="21"/>
          <w:vertAlign w:val="superscript"/>
        </w:rPr>
        <w:t>+</w:t>
      </w:r>
      <w:r>
        <w:rPr>
          <w:rFonts w:ascii="Times New Roman" w:hAnsi="Times New Roman" w:eastAsia="宋体"/>
          <w:b w:val="0"/>
          <w:sz w:val="21"/>
        </w:rPr>
        <w:t>/Il1b</w:t>
      </w:r>
      <w:r>
        <w:rPr>
          <w:rFonts w:ascii="Times New Roman" w:hAnsi="Times New Roman" w:eastAsia="宋体"/>
          <w:b w:val="0"/>
          <w:sz w:val="21"/>
          <w:vertAlign w:val="superscript"/>
        </w:rPr>
        <w:t>+</w:t>
      </w:r>
      <w:r>
        <w:rPr>
          <w:rFonts w:ascii="Times New Roman" w:hAnsi="Times New Roman" w:eastAsia="宋体"/>
          <w:b w:val="0"/>
          <w:sz w:val="21"/>
        </w:rPr>
        <w:t>）于伤后 1 w 占主导而后转为 M2 修复型，并可细分为损伤招募型与组织驻留型[107]；CCR2 介导的募集受阻会削弱肌腱愈合[108]，股四头肌腱中则鉴定出三个 MERTK 相关亚群[109]。时序性 scRNA-seq 在骨骼肌再生中鉴定出 GPNMB</w:t>
      </w:r>
      <w:r>
        <w:rPr>
          <w:rFonts w:ascii="Times New Roman" w:hAnsi="Times New Roman" w:eastAsia="宋体"/>
          <w:b w:val="0"/>
          <w:sz w:val="21"/>
          <w:vertAlign w:val="superscript"/>
        </w:rPr>
        <w:t>hi</w:t>
      </w:r>
      <w:r>
        <w:rPr>
          <w:rFonts w:ascii="Times New Roman" w:hAnsi="Times New Roman" w:eastAsia="宋体"/>
          <w:b w:val="0"/>
          <w:sz w:val="21"/>
        </w:rPr>
        <w:t>Ly6C</w:t>
      </w:r>
      <w:r>
        <w:rPr>
          <w:rFonts w:ascii="Times New Roman" w:hAnsi="Times New Roman" w:eastAsia="宋体"/>
          <w:b w:val="0"/>
          <w:sz w:val="21"/>
          <w:vertAlign w:val="superscript"/>
        </w:rPr>
        <w:t>lo</w:t>
      </w:r>
      <w:r>
        <w:rPr>
          <w:rFonts w:ascii="Times New Roman" w:hAnsi="Times New Roman" w:eastAsia="宋体"/>
          <w:b w:val="0"/>
          <w:sz w:val="21"/>
        </w:rPr>
        <w:t xml:space="preserve"> 再生性巨噬细胞于伤后第 3 天达峰[26]，恰与转换窗重合；SAMs 在急慢性损伤中的持续性差异[61]则为"时相失控"提供了可监测的细胞学标志。</w:t>
      </w:r>
    </w:p>
    <w:p>
      <w:pPr>
        <w:spacing w:after="60" w:line="360" w:lineRule="auto"/>
        <w:ind w:firstLine="420"/>
      </w:pPr>
      <w:r>
        <w:rPr>
          <w:rFonts w:ascii="Times New Roman" w:hAnsi="Times New Roman" w:eastAsia="宋体"/>
          <w:b w:val="0"/>
          <w:sz w:val="21"/>
        </w:rPr>
        <w:t>空间转录组学补足了空间维度：Chan 等[41]重建心脏损伤后纤维化微环境的时空图谱，揭示 Trem2</w:t>
      </w:r>
      <w:r>
        <w:rPr>
          <w:rFonts w:ascii="Times New Roman" w:hAnsi="Times New Roman" w:eastAsia="宋体"/>
          <w:b w:val="0"/>
          <w:sz w:val="21"/>
          <w:vertAlign w:val="superscript"/>
        </w:rPr>
        <w:t>high</w:t>
      </w:r>
      <w:r>
        <w:rPr>
          <w:rFonts w:ascii="Times New Roman" w:hAnsi="Times New Roman" w:eastAsia="宋体"/>
          <w:b w:val="0"/>
          <w:sz w:val="21"/>
        </w:rPr>
        <w:t xml:space="preserve"> 巨噬细胞对成纤维细胞增殖的抑制作用；Zhao 等[110]则发现肾损伤后富含 TNC 的成纤维细胞-巨噬细胞微环境经 TLR4/NF-κB 驱动炎症与纤维化。</w:t>
      </w:r>
    </w:p>
    <w:p>
      <w:pPr>
        <w:spacing w:after="60" w:line="360" w:lineRule="auto"/>
        <w:ind w:firstLine="420"/>
      </w:pPr>
      <w:r>
        <w:rPr>
          <w:rFonts w:ascii="Times New Roman" w:hAnsi="Times New Roman" w:eastAsia="宋体"/>
          <w:b w:val="0"/>
          <w:sz w:val="21"/>
        </w:rPr>
        <w:t>代谢组学可直接验证代谢重编程的干预效应，如糖酵解与 TCA 循环中间产物、脂肪酸代谢物的动态变化[42,111]；Zhang 等[112]整合 scRNA-seq、多组学与药理学分析研究真武汤，追踪了极化动态与疗效的相关性。</w:t>
      </w:r>
    </w:p>
    <w:p>
      <w:pPr>
        <w:spacing w:after="60" w:line="360" w:lineRule="auto"/>
        <w:ind w:firstLine="420"/>
      </w:pPr>
      <w:r>
        <w:rPr>
          <w:rFonts w:ascii="Times New Roman" w:hAnsi="Times New Roman" w:eastAsia="宋体"/>
          <w:b w:val="0"/>
          <w:sz w:val="21"/>
        </w:rPr>
        <w:t>人工智能辅助的网络药理学已从分子、细胞、组织延伸至患者四个尺度[113,114]。与本文框架关系最直接的两项工作是：Li 等[115]结合 scRNA-seq、网络药理学与流式验证，鉴定 AHSA1 为巨噬细胞极化关键调控因子并验证槲皮素的抑制作用；Li 等[116]以靶点扰动基因调控网络对 scRNA-seq 建模，识别丹参酮 IIA 响应的巨噬细胞亚群及其靶点。二者说明"哪种干预作用于哪种巨噬细胞状态"已可由计算方法提前缩小范围，而这一能力向前延伸一步，即指向"哪种干预应作用于哪个时窗"。</w:t>
      </w:r>
    </w:p>
    <w:p>
      <w:pPr>
        <w:spacing w:before="200" w:after="100"/>
      </w:pPr>
      <w:r>
        <w:rPr>
          <w:rFonts w:ascii="Times New Roman" w:hAnsi="Times New Roman" w:eastAsia="黑体"/>
          <w:b/>
          <w:sz w:val="24"/>
        </w:rPr>
        <w:t>7 总结与展望</w:t>
      </w:r>
    </w:p>
    <w:p>
      <w:pPr>
        <w:spacing w:after="60" w:line="360" w:lineRule="auto"/>
        <w:ind w:firstLine="420"/>
      </w:pPr>
      <w:r>
        <w:rPr>
          <w:rFonts w:ascii="Times New Roman" w:hAnsi="Times New Roman" w:eastAsia="宋体"/>
          <w:b w:val="0"/>
          <w:sz w:val="21"/>
        </w:rPr>
        <w:t>本文立论所依据的判断为：给药时点本身即可决定疗效方向，该判断已获实证，而在中医药领域尚属空白。该判断在骨骼肌损伤模型中已由以时点为唯一自变量的对照实验证实[9,10]；中医药一侧，电针研究已观察到效应的时相结构并与转换窗重合[17,18]，中药一侧虽有筋伤原位模型的阳性证据[19]，时相分层仍付阙如。本文以巨噬细胞时相极化为主线，梳理 ASTI 修复的四个免疫时窗及其代谢基础，论证消、和、补三法分别对应促消退、主动促成转换与维持功能质量三个免疫学落点。机制层面，M1→M2 转换可归结为糖酵解通量下降与 FAO/OXPHOS 通量上升的交叉点，由 HIF-1α 稳定性、AMPK/mTORC1 平衡与乙酰辅酶 A 供给共同决定。干预层面，现有证据分布不均，消法与和法材料较丰富，补法对应的重塑期几近空白。巨噬细胞时相极化本身已是成熟方向[35,58]，本文的贡献在于将筋伤修复进程刻度与免疫时相对接，并把给药时相确立为可检验的研究变量，而非机制描述本身。</w:t>
      </w:r>
    </w:p>
    <w:p>
      <w:pPr>
        <w:spacing w:after="60" w:line="360" w:lineRule="auto"/>
        <w:ind w:firstLine="420"/>
      </w:pPr>
      <w:r>
        <w:rPr>
          <w:rFonts w:ascii="Times New Roman" w:hAnsi="Times New Roman" w:eastAsia="宋体"/>
          <w:b w:val="0"/>
          <w:sz w:val="21"/>
        </w:rPr>
        <w:t>当前研究存在方法论与证据层级的双重瓶颈。方法论层面，多数研究仅报告给药后 M1↓/M2↑ 的终点表型而不报告给药时相，无法区分"抑制 M1 极化"与"延迟极化转换"这两种方向相反的效应；其严重性可由非中药领域的对照实验反衬：当时点被设为唯一自变量时，同一疗法的疗效可从显著获益降至获益有限[9]。证据层级层面，基础研究多依托细胞系与单一动物模型，直接以 ASTI 为模型者极少，且该断层在中医药内部分布不均：针灸领域已有原位模型、带时间分层的 α 级证据[17,18]，推拿领域虽无时点对照臂却已按时相择机施术[21,22]，其力学同源干预更已有以起始时点为唯一自变量的阳性结果[20]；中药领域除栀黄膏[8]与 Parishin A[19]外多为跨疾病外推，故可直接借鉴针灸领域已成型的时相分层设计。与此同时，临床一侧已先行一步：2024 年筋伤域共识及其配套随机对照研究已按三期分层给药并取得 1b 级证据[23,78]，但分期边界取自症状演变，疗效评价未纳入时相标志物，遂形成一种特有的错配：临床已在按时相给药，机制研究却未按时相取证，二者无法相互校准。</w:t>
      </w:r>
    </w:p>
    <w:p>
      <w:pPr>
        <w:spacing w:after="60" w:line="360" w:lineRule="auto"/>
        <w:ind w:firstLine="420"/>
      </w:pPr>
      <w:r>
        <w:rPr>
          <w:rFonts w:ascii="Times New Roman" w:hAnsi="Times New Roman" w:eastAsia="宋体"/>
          <w:b w:val="0"/>
          <w:sz w:val="21"/>
        </w:rPr>
        <w:t>本文所主张者并非未经检验的新原理：按免疫时相分段施加方向相反的干预在生物材料领域已成设计规范[12,9]，本文所指出者，是这一原理尚未进入中医药干预的研究设计，而中医药恰拥有一套至今指导临床的分期治法框架与之对应。这一反差既是选题的理由，也界定了本文贡献的边界。</w:t>
      </w:r>
    </w:p>
    <w:p>
      <w:pPr>
        <w:spacing w:after="60" w:line="360" w:lineRule="auto"/>
        <w:ind w:firstLine="420"/>
      </w:pPr>
      <w:r>
        <w:rPr>
          <w:rFonts w:ascii="Times New Roman" w:hAnsi="Times New Roman" w:eastAsia="宋体"/>
          <w:b w:val="0"/>
          <w:sz w:val="21"/>
        </w:rPr>
        <w:t>未来研究可沿四个方向推进：①建立"给药时相—效应"报告规范，在实验中固定损伤后给药时点（建议至少覆盖 0～24 h、24～72 h、3～7 d、&gt;7 d 四档），并同步报告转换时点而非仅终点表型；②以 ASTI 原位模型验证转换窗干预假说，优先补足补法对应时窗的证据；③将时序 scRNA-seq 与代谢组学从"识别细胞亚群"推进到"确定给药时相"，以 GPNMB</w:t>
      </w:r>
      <w:r>
        <w:rPr>
          <w:rFonts w:ascii="Times New Roman" w:hAnsi="Times New Roman" w:eastAsia="宋体"/>
          <w:b w:val="0"/>
          <w:sz w:val="21"/>
          <w:vertAlign w:val="superscript"/>
        </w:rPr>
        <w:t>hi</w:t>
      </w:r>
      <w:r>
        <w:rPr>
          <w:rFonts w:ascii="Times New Roman" w:hAnsi="Times New Roman" w:eastAsia="宋体"/>
          <w:b w:val="0"/>
          <w:sz w:val="21"/>
        </w:rPr>
        <w:t>、Trem2</w:t>
      </w:r>
      <w:r>
        <w:rPr>
          <w:rFonts w:ascii="Times New Roman" w:hAnsi="Times New Roman" w:eastAsia="宋体"/>
          <w:b w:val="0"/>
          <w:sz w:val="21"/>
          <w:vertAlign w:val="superscript"/>
        </w:rPr>
        <w:t>high</w:t>
      </w:r>
      <w:r>
        <w:rPr>
          <w:rFonts w:ascii="Times New Roman" w:hAnsi="Times New Roman" w:eastAsia="宋体"/>
          <w:b w:val="0"/>
          <w:sz w:val="21"/>
        </w:rPr>
        <w:t xml:space="preserve"> 等亚群为时间锚点，并发展肠—免疫—骨肌轴的跨系统证据[117]；④推进临床转化，将 CD86/CD206 比值、IL-10/TNF-α 比值与 SPM 谱作为动态疗效标志物。一条现实可行的切入路径，是在已具 1b 级证据的现行三期外治方案[23,78]基础上加测时相标志物，检验其分期边界是否与表型转换时点相符，从而使伤科三期辨证的经验判断获得可验证的分子时间表。</w:t>
      </w:r>
    </w:p>
    <w:p>
      <w:pPr>
        <w:spacing w:before="200" w:after="100"/>
      </w:pPr>
      <w:r>
        <w:rPr>
          <w:rFonts w:ascii="Times New Roman" w:hAnsi="Times New Roman" w:eastAsia="黑体"/>
          <w:b/>
          <w:sz w:val="24"/>
        </w:rPr>
        <w:t>图 1 说明</w:t>
      </w:r>
    </w:p>
    <w:p>
      <w:pPr>
        <w:spacing w:after="60" w:line="360" w:lineRule="auto"/>
        <w:ind w:firstLine="420"/>
      </w:pPr>
      <w:r>
        <w:rPr>
          <w:rFonts w:ascii="Times New Roman" w:hAnsi="Times New Roman" w:eastAsia="宋体"/>
          <w:b/>
          <w:sz w:val="21"/>
        </w:rPr>
        <w:t>图 1 急性软组织损伤修复的"免疫时相—伤科三期治法"对应图</w:t>
      </w:r>
    </w:p>
    <w:p>
      <w:pPr>
        <w:spacing w:after="60" w:line="360" w:lineRule="auto"/>
        <w:ind w:firstLine="420"/>
      </w:pPr>
      <w:r>
        <w:rPr>
          <w:rFonts w:ascii="Times New Roman" w:hAnsi="Times New Roman" w:eastAsia="宋体"/>
          <w:b/>
          <w:sz w:val="21"/>
        </w:rPr>
        <w:t>图注：</w:t>
      </w:r>
      <w:r>
        <w:rPr>
          <w:rFonts w:ascii="Times New Roman" w:hAnsi="Times New Roman" w:eastAsia="宋体"/>
          <w:b w:val="0"/>
          <w:sz w:val="21"/>
        </w:rPr>
        <w:t xml:space="preserve"> 图中并列三条时间轴：上为临床沿用的用药分期（初期 1～2 w／中期 3～6 w／后期 ≥7 w，灰色虚轴，仅作参照），中为筋伤修复进程刻度（炎症期 ≤72 h／增殖期自 3 d 起、持续 15 d／重塑期 6～12 w），下为免疫刻度（0～72 h／3～7 d／1～2 w／&gt;2 w）。全图视觉重心为后两条轴之间对齐的竖向虚线。自下而上依次为四层：①病理事件层（出血、水肿、清创、血管化、胶原改建）；②细胞层（中性粒细胞、单核／巨噬细胞、肌卫星细胞、成肌纤维细胞）；③巨噬细胞功能态层（M1 主导→转换窗→M2 主导，标注 GPNMB</w:t>
      </w:r>
      <w:r>
        <w:rPr>
          <w:rFonts w:ascii="Times New Roman" w:hAnsi="Times New Roman" w:eastAsia="宋体"/>
          <w:b w:val="0"/>
          <w:sz w:val="21"/>
          <w:vertAlign w:val="superscript"/>
        </w:rPr>
        <w:t>hi</w:t>
      </w:r>
      <w:r>
        <w:rPr>
          <w:rFonts w:ascii="Times New Roman" w:hAnsi="Times New Roman" w:eastAsia="宋体"/>
          <w:b w:val="0"/>
          <w:sz w:val="21"/>
        </w:rPr>
        <w:t xml:space="preserve"> 与 Trem2</w:t>
      </w:r>
      <w:r>
        <w:rPr>
          <w:rFonts w:ascii="Times New Roman" w:hAnsi="Times New Roman" w:eastAsia="宋体"/>
          <w:b w:val="0"/>
          <w:sz w:val="21"/>
          <w:vertAlign w:val="superscript"/>
        </w:rPr>
        <w:t>high</w:t>
      </w:r>
      <w:r>
        <w:rPr>
          <w:rFonts w:ascii="Times New Roman" w:hAnsi="Times New Roman" w:eastAsia="宋体"/>
          <w:b w:val="0"/>
          <w:sz w:val="21"/>
        </w:rPr>
        <w:t xml:space="preserve"> 两个时相标志亚群）；④代谢模式层（糖酵解↑／HIF-1α 高活性→交叉点→FAO/OXPHOS 主导）。图右侧并列治法层，以带状色块标示消、和、补三法的对应区间，并在"消—和"交界处标出其与 M1→M2 转换窗的重叠区。底部以 ★ 标注促消退、促成转换、防纤维化三个可干预节点。</w:t>
      </w:r>
    </w:p>
    <w:p>
      <w:pPr>
        <w:spacing w:before="200" w:after="100"/>
      </w:pPr>
      <w:r>
        <w:rPr>
          <w:rFonts w:ascii="Times New Roman" w:hAnsi="Times New Roman" w:eastAsia="黑体"/>
          <w:b/>
          <w:sz w:val="24"/>
        </w:rPr>
        <w:t>参考文献</w:t>
      </w:r>
    </w:p>
    <w:p>
      <w:pPr>
        <w:spacing w:after="40" w:line="300" w:lineRule="auto"/>
        <w:ind w:left="482" w:hanging="482"/>
      </w:pPr>
      <w:r>
        <w:rPr>
          <w:rFonts w:ascii="Times New Roman" w:hAnsi="Times New Roman" w:eastAsia="宋体"/>
          <w:b w:val="0"/>
          <w:sz w:val="18"/>
        </w:rPr>
        <w:t>[1] Chen GY, Nuñez G. Sterile inflammation: sensing and reacting to damage[J]. *Nat Rev Immunol*, 2010, 10(12): 826-837. DOI: 10.1038/nri2873. PMID: 21088683.</w:t>
      </w:r>
    </w:p>
    <w:p>
      <w:pPr>
        <w:spacing w:after="40" w:line="300" w:lineRule="auto"/>
        <w:ind w:left="482" w:hanging="482"/>
      </w:pPr>
      <w:r>
        <w:rPr>
          <w:rFonts w:ascii="Times New Roman" w:hAnsi="Times New Roman" w:eastAsia="宋体"/>
          <w:b w:val="0"/>
          <w:sz w:val="18"/>
        </w:rPr>
        <w:t>[2] Jones P, Lamdin R, Dalziel SR. Oral non-steroidal anti-inflammatory drugs versus other oral analgesic agents for acute soft tissue injury[J]. *Cochrane Database Syst Rev*, 2020, 8: CD007789. DOI: 10.1002/14651858.CD007789.pub3. PMID: 32797734.</w:t>
      </w:r>
    </w:p>
    <w:p>
      <w:pPr>
        <w:spacing w:after="40" w:line="300" w:lineRule="auto"/>
        <w:ind w:left="482" w:hanging="482"/>
      </w:pPr>
      <w:r>
        <w:rPr>
          <w:rFonts w:ascii="Times New Roman" w:hAnsi="Times New Roman" w:eastAsia="宋体"/>
          <w:b w:val="0"/>
          <w:sz w:val="18"/>
        </w:rPr>
        <w:t>[3] Wynn TA, Vannella KM. Macrophages in tissue repair, regeneration, and fibrosis[J]. *Immunity*, 2016, 44(3): 450-462. DOI: 10.1016/j.immuni.2016.02.015. PMID: 26982353.</w:t>
      </w:r>
    </w:p>
    <w:p>
      <w:pPr>
        <w:spacing w:after="40" w:line="300" w:lineRule="auto"/>
        <w:ind w:left="482" w:hanging="482"/>
      </w:pPr>
      <w:r>
        <w:rPr>
          <w:rFonts w:ascii="Times New Roman" w:hAnsi="Times New Roman" w:eastAsia="宋体"/>
          <w:b w:val="0"/>
          <w:sz w:val="18"/>
        </w:rPr>
        <w:t>[4] Landén NX, Li D, Ståhle M. Transition from inflammation to proliferation: a critical step during wound healing[J]. *Cell Mol Life Sci*, 2016, 73(20): 3861-3885. DOI: 10.1007/s00018-016-2268-0. PMID: 27180275.</w:t>
      </w:r>
    </w:p>
    <w:p>
      <w:pPr>
        <w:spacing w:after="40" w:line="300" w:lineRule="auto"/>
        <w:ind w:left="482" w:hanging="482"/>
      </w:pPr>
      <w:r>
        <w:rPr>
          <w:rFonts w:ascii="Times New Roman" w:hAnsi="Times New Roman" w:eastAsia="宋体"/>
          <w:b w:val="0"/>
          <w:sz w:val="18"/>
        </w:rPr>
        <w:t>[5] O'Neill LA, Pearce EJ. Immunometabolism governs dendritic cell and macrophage function. *J Exp Med*, 2016, 213(1): 15-23. DOI: 10.1084/jem.20151570</w:t>
      </w:r>
    </w:p>
    <w:p>
      <w:pPr>
        <w:spacing w:after="40" w:line="300" w:lineRule="auto"/>
        <w:ind w:left="482" w:hanging="482"/>
      </w:pPr>
      <w:r>
        <w:rPr>
          <w:rFonts w:ascii="Times New Roman" w:hAnsi="Times New Roman" w:eastAsia="宋体"/>
          <w:b w:val="0"/>
          <w:sz w:val="18"/>
        </w:rPr>
        <w:t>[6] Pålsson-McDermott EM, O'Neill LAJ. Targeting immunometabolism as an anti-inflammatory strategy[J]. *Cell Res*, 2020, 30(4): 300-314. DOI: 10.1038/s41422-020-0291-z. PMID: 32132672.</w:t>
      </w:r>
    </w:p>
    <w:p>
      <w:pPr>
        <w:spacing w:after="40" w:line="300" w:lineRule="auto"/>
        <w:ind w:left="482" w:hanging="482"/>
      </w:pPr>
      <w:r>
        <w:rPr>
          <w:rFonts w:ascii="Times New Roman" w:hAnsi="Times New Roman" w:eastAsia="宋体"/>
          <w:b w:val="0"/>
          <w:sz w:val="18"/>
        </w:rPr>
        <w:t xml:space="preserve">[7] 詹红生, 马勇. 中医筋伤学[M]. 上海: 上海科学技术出版社, 2012: </w:t>
      </w:r>
      <w:r>
        <w:rPr>
          <w:rFonts w:ascii="Times New Roman" w:hAnsi="Times New Roman" w:eastAsia="宋体"/>
          <w:b/>
          <w:sz w:val="18"/>
        </w:rPr>
        <w:t>65-67</w:t>
      </w:r>
      <w:r>
        <w:rPr>
          <w:rFonts w:ascii="Times New Roman" w:hAnsi="Times New Roman" w:eastAsia="宋体"/>
          <w:b w:val="0"/>
          <w:sz w:val="18"/>
        </w:rPr>
        <w:t>.（全国普通高等教育中医药类精编教材；"十一五"国家级规划教材. ISBN 978-7-5478-1349-2）</w:t>
      </w:r>
    </w:p>
    <w:p>
      <w:pPr>
        <w:spacing w:after="40" w:line="300" w:lineRule="auto"/>
        <w:ind w:left="482" w:hanging="482"/>
      </w:pPr>
      <w:r>
        <w:rPr>
          <w:rFonts w:ascii="Times New Roman" w:hAnsi="Times New Roman" w:eastAsia="宋体"/>
          <w:b w:val="0"/>
          <w:sz w:val="18"/>
        </w:rPr>
        <w:t>[8] Zhang C, Liu Y, Xu J, Li W, Zhou X, Ye Y, Lei Y, Yan S, Zhou Q, Lyu C, Cai Z, Hong Y, Yang Y. Zhi-Huang plaster alleviates acute soft tissue injury by promoting chemotaxis of regulatory T cells. *J Ethnopharmacol*, 2025, 349: 119925. DOI: 10.1016/j.jep.2025.119925. PMID: 40334759.</w:t>
      </w:r>
    </w:p>
    <w:p>
      <w:pPr>
        <w:spacing w:after="40" w:line="300" w:lineRule="auto"/>
        <w:ind w:left="482" w:hanging="482"/>
      </w:pPr>
      <w:r>
        <w:rPr>
          <w:rFonts w:ascii="Times New Roman" w:hAnsi="Times New Roman" w:eastAsia="宋体"/>
          <w:b w:val="0"/>
          <w:sz w:val="18"/>
        </w:rPr>
        <w:t>[9] Cezar CA, Arany P, Vermillion SA, Seo BR, Vandenburgh HH, Mooney DJ. Timed Delivery of Therapy Enhances Functional Muscle Regeneration[J]. *Adv Healthc Mater*, 2017, 6(19): 1700202. DOI: 10.1002/adhm.201700202. PMID: 28703489.</w:t>
      </w:r>
    </w:p>
    <w:p>
      <w:pPr>
        <w:spacing w:after="40" w:line="300" w:lineRule="auto"/>
        <w:ind w:left="482" w:hanging="482"/>
      </w:pPr>
      <w:r>
        <w:rPr>
          <w:rFonts w:ascii="Times New Roman" w:hAnsi="Times New Roman" w:eastAsia="宋体"/>
          <w:b w:val="0"/>
          <w:sz w:val="18"/>
        </w:rPr>
        <w:t>[10] Bryant AE, Aldape MJ, Bayer CR, et al. Effects of delayed NSAID administration after experimental eccentric contraction injury—A cellular and proteomics study[J]. *PLoS One*, 2017, 12(2): e0172486. DOI: 10.1371/journal.pone.0172486. PMID: 28248973.</w:t>
      </w:r>
    </w:p>
    <w:p>
      <w:pPr>
        <w:spacing w:after="40" w:line="300" w:lineRule="auto"/>
        <w:ind w:left="482" w:hanging="482"/>
      </w:pPr>
      <w:r>
        <w:rPr>
          <w:rFonts w:ascii="Times New Roman" w:hAnsi="Times New Roman" w:eastAsia="宋体"/>
          <w:b w:val="0"/>
          <w:sz w:val="18"/>
        </w:rPr>
        <w:t>[11] Programming of macrophage polarization in different stages for accelerating wound healing. *Chem Eng J*, 2024, 488: 150780. DOI: 10.1016/j.cej.2024.150780</w:t>
      </w:r>
    </w:p>
    <w:p>
      <w:pPr>
        <w:spacing w:after="40" w:line="300" w:lineRule="auto"/>
        <w:ind w:left="482" w:hanging="482"/>
      </w:pPr>
      <w:r>
        <w:rPr>
          <w:rFonts w:ascii="Times New Roman" w:hAnsi="Times New Roman" w:eastAsia="宋体"/>
          <w:b w:val="0"/>
          <w:sz w:val="18"/>
        </w:rPr>
        <w:t>[12] Gao X, Dong S, Zheng X, Si Y, Zhang C. Sequential polarization of macrophages: an immunomodulatory strategy for novel bone repair materials[J]. *Regen Biomater*, 2026, 13: rbag144. DOI: 10.1093/rb/rbag144. PMID: 42524642.</w:t>
      </w:r>
    </w:p>
    <w:p>
      <w:pPr>
        <w:spacing w:after="40" w:line="300" w:lineRule="auto"/>
        <w:ind w:left="482" w:hanging="482"/>
      </w:pPr>
      <w:r>
        <w:rPr>
          <w:rFonts w:ascii="Times New Roman" w:hAnsi="Times New Roman" w:eastAsia="宋体"/>
          <w:b w:val="0"/>
          <w:sz w:val="18"/>
        </w:rPr>
        <w:t>[13] Li Y, Qu Y, Yu Z, et al. Modulation of Macrophage Polarization by Traditional Chinese Medicine in HFpEF: A Review of Mechanisms and Therapeutic Potentials. *Pharmaceuticals*, 2025, 18(9): 1317. DOI: 10.3390/ph18091317</w:t>
      </w:r>
    </w:p>
    <w:p>
      <w:pPr>
        <w:spacing w:after="40" w:line="300" w:lineRule="auto"/>
        <w:ind w:left="482" w:hanging="482"/>
      </w:pPr>
      <w:r>
        <w:rPr>
          <w:rFonts w:ascii="Times New Roman" w:hAnsi="Times New Roman" w:eastAsia="宋体"/>
          <w:b w:val="0"/>
          <w:sz w:val="18"/>
        </w:rPr>
        <w:t>[14] Li Y, Qu Y, et al. A potential therapeutic target in traditional Chinese medicine for ulcerative colitis: Macrophage polarization. *Front Pharmacol*, 2022, 13: 999179. DOI: 10.3389/fphar.2022.999179</w:t>
      </w:r>
    </w:p>
    <w:p>
      <w:pPr>
        <w:spacing w:after="40" w:line="300" w:lineRule="auto"/>
        <w:ind w:left="482" w:hanging="482"/>
      </w:pPr>
      <w:r>
        <w:rPr>
          <w:rFonts w:ascii="Times New Roman" w:hAnsi="Times New Roman" w:eastAsia="宋体"/>
          <w:b w:val="0"/>
          <w:sz w:val="18"/>
        </w:rPr>
        <w:t>[15] 巨噬细胞极化与中药抗肿瘤机制研究进展. *中国实验方剂学杂志*, 2022, 28(4): 218-226.</w:t>
      </w:r>
    </w:p>
    <w:p>
      <w:pPr>
        <w:spacing w:after="40" w:line="300" w:lineRule="auto"/>
        <w:ind w:left="482" w:hanging="482"/>
      </w:pPr>
      <w:r>
        <w:rPr>
          <w:rFonts w:ascii="Times New Roman" w:hAnsi="Times New Roman" w:eastAsia="宋体"/>
          <w:b w:val="0"/>
          <w:sz w:val="18"/>
        </w:rPr>
        <w:t>[16] Chen S, Zeng J, Li R, Zhang Y, Tao Y, Hou Y, Yang L, Zhang Y, Wu J, Meng X. Traditional Chinese medicine in regulating macrophage polarization in immune response of inflammatory diseases. *J Ethnopharmacol*, 2024, 325: 117838. DOI: 10.1016/j.jep.2024.117838</w:t>
      </w:r>
    </w:p>
    <w:p>
      <w:pPr>
        <w:spacing w:after="40" w:line="300" w:lineRule="auto"/>
        <w:ind w:left="482" w:hanging="482"/>
      </w:pPr>
      <w:r>
        <w:rPr>
          <w:rFonts w:ascii="Times New Roman" w:hAnsi="Times New Roman" w:eastAsia="宋体"/>
          <w:b w:val="0"/>
          <w:sz w:val="18"/>
        </w:rPr>
        <w:t>[17] 黄雨婷, 林玉叶, 张国君, 等. 电针诱导巨噬细胞极化促进急性骨骼肌损伤修复的机制研究[J]. *中国针灸*, 2025, 45(6): 791-800. DOI: 10.13703/j.0255-2930.20241126-k0005. PMID: 40518784.</w:t>
      </w:r>
    </w:p>
    <w:p>
      <w:pPr>
        <w:spacing w:after="40" w:line="300" w:lineRule="auto"/>
        <w:ind w:left="482" w:hanging="482"/>
      </w:pPr>
      <w:r>
        <w:rPr>
          <w:rFonts w:ascii="Times New Roman" w:hAnsi="Times New Roman" w:eastAsia="宋体"/>
          <w:b w:val="0"/>
          <w:sz w:val="18"/>
        </w:rPr>
        <w:t>[18] Yuan T, He BU, Tieshan W, et al. Efficacy of electro-acupuncture at "Weizhong" (BL40) on macrophage polarization in rats with injured lumbar multifidus[J]. *J Tradit Chin Med*, 2025, 45(2): 335-347. DOI: 10.19852/j.cnki.jtcm.20220419.001. PMID: 40151120.</w:t>
      </w:r>
    </w:p>
    <w:p>
      <w:pPr>
        <w:spacing w:after="40" w:line="300" w:lineRule="auto"/>
        <w:ind w:left="482" w:hanging="482"/>
      </w:pPr>
      <w:r>
        <w:rPr>
          <w:rFonts w:ascii="Times New Roman" w:hAnsi="Times New Roman" w:eastAsia="宋体"/>
          <w:b w:val="0"/>
          <w:sz w:val="18"/>
        </w:rPr>
        <w:t>[19] Zhu L, Wang Y, Jin S, Niu Y, Yu M, Li Z, Chen L, Wu X, Ding C, Wu T, Shi X, et al. Parishin A-loaded mesoporous silica nanoparticles modulate macrophage polarization to attenuate tendinopathy[J]. *NPJ Regen Med*, 2023, 8(1): 14. DOI: 10.1038/s41536-023-00289-0. PMID: 36899012.</w:t>
      </w:r>
    </w:p>
    <w:p>
      <w:pPr>
        <w:spacing w:after="40" w:line="300" w:lineRule="auto"/>
        <w:ind w:left="482" w:hanging="482"/>
      </w:pPr>
      <w:r>
        <w:rPr>
          <w:rFonts w:ascii="Times New Roman" w:hAnsi="Times New Roman" w:eastAsia="宋体"/>
          <w:b w:val="0"/>
          <w:sz w:val="18"/>
        </w:rPr>
        <w:t>[20] Haas C, Butterfield TA, Abshire S, Zhao Y, Zhang X, Jarjoura D, Best TM. Massage timing affects postexercise muscle recovery and inflammation in a rabbit model[J]. *Med Sci Sports Exerc*, 2013, 45(6): 1105-1112. DOI: 10.1249/MSS.0b013e31827fdf18. PMID: 23274593.</w:t>
      </w:r>
    </w:p>
    <w:p>
      <w:pPr>
        <w:spacing w:after="40" w:line="300" w:lineRule="auto"/>
        <w:ind w:left="482" w:hanging="482"/>
      </w:pPr>
      <w:r>
        <w:rPr>
          <w:rFonts w:ascii="Times New Roman" w:hAnsi="Times New Roman" w:eastAsia="宋体"/>
          <w:b w:val="0"/>
          <w:sz w:val="18"/>
        </w:rPr>
        <w:t>[21] 庞赓, 李沙, 唐新月, 赵娜. 推拿疗法对骨骼肌纤维化大鼠MMP-1和TIMP-1表达的影响[J]. 天津中医药大学学报, 2020, 39(2): 209-214.</w:t>
      </w:r>
    </w:p>
    <w:p>
      <w:pPr>
        <w:spacing w:after="40" w:line="300" w:lineRule="auto"/>
        <w:ind w:left="482" w:hanging="482"/>
      </w:pPr>
      <w:r>
        <w:rPr>
          <w:rFonts w:ascii="Times New Roman" w:hAnsi="Times New Roman" w:eastAsia="宋体"/>
          <w:b w:val="0"/>
          <w:sz w:val="18"/>
        </w:rPr>
        <w:t>[22] 葛海雅, 鄢来军, 汪正明, 杜国庆, 王辉昊, 沈知彼, 李正言, 詹红生. 揉拨手法改善"筋出槽"模型大鼠的机制研究[J]. 北京中医药大学学报, 2026, 49(1): 131-138. DOI: 10.3969/j.issn.1006-2157.2026.01.016.</w:t>
      </w:r>
    </w:p>
    <w:p>
      <w:pPr>
        <w:spacing w:after="40" w:line="300" w:lineRule="auto"/>
        <w:ind w:left="482" w:hanging="482"/>
      </w:pPr>
      <w:r>
        <w:rPr>
          <w:rFonts w:ascii="Times New Roman" w:hAnsi="Times New Roman" w:eastAsia="宋体"/>
          <w:b w:val="0"/>
          <w:sz w:val="18"/>
        </w:rPr>
        <w:t>[23] Ma T, Zhang T, Peng C, et al. Immune cells: the key mediator between the gut microbiota and osteoporosis. *Front Immunol*, 2025, 16: 1680021. DOI: 10.3389/fimmu.2025.1680021</w:t>
      </w:r>
    </w:p>
    <w:p>
      <w:pPr>
        <w:spacing w:after="40" w:line="300" w:lineRule="auto"/>
        <w:ind w:left="482" w:hanging="482"/>
      </w:pPr>
      <w:r>
        <w:rPr>
          <w:rFonts w:ascii="Times New Roman" w:hAnsi="Times New Roman" w:eastAsia="宋体"/>
          <w:b w:val="0"/>
          <w:sz w:val="18"/>
        </w:rPr>
        <w:t>[24] Gordon S, Martinez FO. Alternative activation of macrophages: mechanism and functions. *Immunity*, 2010, 32(5): 593-604. DOI: 10.1016/j.immuni.2010.05.007</w:t>
      </w:r>
    </w:p>
    <w:p>
      <w:pPr>
        <w:spacing w:after="40" w:line="300" w:lineRule="auto"/>
        <w:ind w:left="482" w:hanging="482"/>
      </w:pPr>
      <w:r>
        <w:rPr>
          <w:rFonts w:ascii="Times New Roman" w:hAnsi="Times New Roman" w:eastAsia="宋体"/>
          <w:b w:val="0"/>
          <w:sz w:val="18"/>
        </w:rPr>
        <w:t>[25] Xue J, Schmidt SV, Sander J, et al. Transcriptome-based network analysis reveals a spectrum model of human macrophage activation[J]. *Immunity*, 2014, 40(2): 274-288. DOI: 10.1016/j.immuni.2014.01.006. PMID: 24530056.</w:t>
      </w:r>
    </w:p>
    <w:p>
      <w:pPr>
        <w:spacing w:after="40" w:line="300" w:lineRule="auto"/>
        <w:ind w:left="482" w:hanging="482"/>
      </w:pPr>
      <w:r>
        <w:rPr>
          <w:rFonts w:ascii="Times New Roman" w:hAnsi="Times New Roman" w:eastAsia="宋体"/>
          <w:b w:val="0"/>
          <w:sz w:val="18"/>
        </w:rPr>
        <w:t>[26] Chen YF, Lee CW, Li YJ, Lin WT, Chen HY, Chen YC, Lin CH, Ho JH, Lu LF, Chien S, Lee OK. Temporal single-cell sequencing analysis reveals that GPNMB-expressing macrophages potentiate muscle regeneration. *Exp Mol Med*, 2025, 57(6): 1232-1245. DOI: 10.1038/s12276-025-01467-4. PMID: 38585871.</w:t>
      </w:r>
    </w:p>
    <w:p>
      <w:pPr>
        <w:spacing w:after="40" w:line="300" w:lineRule="auto"/>
        <w:ind w:left="482" w:hanging="482"/>
      </w:pPr>
      <w:r>
        <w:rPr>
          <w:rFonts w:ascii="Times New Roman" w:hAnsi="Times New Roman" w:eastAsia="宋体"/>
          <w:b w:val="0"/>
          <w:sz w:val="18"/>
        </w:rPr>
        <w:t>[27] Daley JM, Brancato SK, Thomay AA, et al. The phenotype of murine wound macrophages[J]. *J Leukoc Biol*, 2010, 87(1): 59-67. DOI: 10.1189/jlb.0409236. PMID: 20052800.</w:t>
      </w:r>
    </w:p>
    <w:p>
      <w:pPr>
        <w:spacing w:after="40" w:line="300" w:lineRule="auto"/>
        <w:ind w:left="482" w:hanging="482"/>
      </w:pPr>
      <w:r>
        <w:rPr>
          <w:rFonts w:ascii="Times New Roman" w:hAnsi="Times New Roman" w:eastAsia="宋体"/>
          <w:b w:val="0"/>
          <w:sz w:val="18"/>
        </w:rPr>
        <w:t>[28] Serhan CN. Pro-resolving lipid mediators are leads for resolution physiology. *Nature*, 2014, 510(7503): 92-101. DOI: 10.1038/nature13479</w:t>
      </w:r>
    </w:p>
    <w:p>
      <w:pPr>
        <w:spacing w:after="40" w:line="300" w:lineRule="auto"/>
        <w:ind w:left="482" w:hanging="482"/>
      </w:pPr>
      <w:r>
        <w:rPr>
          <w:rFonts w:ascii="Times New Roman" w:hAnsi="Times New Roman" w:eastAsia="宋体"/>
          <w:b w:val="0"/>
          <w:sz w:val="18"/>
        </w:rPr>
        <w:t>[29] Serhan CN, Savill J. Resolution of inflammation: the beginning programs the end[J]. *Nat Immunol*, 2005, 6(12): 1191-1197. DOI: 10.1038/ni1276. PMID: 16369558.</w:t>
      </w:r>
    </w:p>
    <w:p>
      <w:pPr>
        <w:spacing w:after="40" w:line="300" w:lineRule="auto"/>
        <w:ind w:left="482" w:hanging="482"/>
      </w:pPr>
      <w:r>
        <w:rPr>
          <w:rFonts w:ascii="Times New Roman" w:hAnsi="Times New Roman" w:eastAsia="宋体"/>
          <w:b w:val="0"/>
          <w:sz w:val="18"/>
        </w:rPr>
        <w:t>[30] Doran AC, Yurdagul A Jr, Tabas I. Efferocytosis in health and disease[J]. *Nat Rev Immunol*, 2020, 20(4): 254-267. DOI: 10.1038/s41577-019-0240-6. PMID: 31822793.</w:t>
      </w:r>
    </w:p>
    <w:p>
      <w:pPr>
        <w:spacing w:after="40" w:line="300" w:lineRule="auto"/>
        <w:ind w:left="482" w:hanging="482"/>
      </w:pPr>
      <w:r>
        <w:rPr>
          <w:rFonts w:ascii="Times New Roman" w:hAnsi="Times New Roman" w:eastAsia="宋体"/>
          <w:b w:val="0"/>
          <w:sz w:val="18"/>
        </w:rPr>
        <w:t>[31] Wang Y, et al. Macrophage efferocytosis promotes inflammation resolution and accelerates wound healing. *Commun Biol*, 2025. (Nature Communications Biology)</w:t>
      </w:r>
    </w:p>
    <w:p>
      <w:pPr>
        <w:spacing w:after="40" w:line="300" w:lineRule="auto"/>
        <w:ind w:left="482" w:hanging="482"/>
      </w:pPr>
      <w:r>
        <w:rPr>
          <w:rFonts w:ascii="Times New Roman" w:hAnsi="Times New Roman" w:eastAsia="宋体"/>
          <w:b w:val="0"/>
          <w:sz w:val="18"/>
        </w:rPr>
        <w:t>[32] Arnold L, Henry A, Poron F, Baba-Amer Y, van Rooijen N, Plonquet A, Gherardi RK, Chazaud B. Inflammatory monocytes recruited after skeletal muscle injury switch into antiinflammatory macrophages to support myogenesis. *J Exp Med*, 2007, 204(5): 1057-1069. PMID: 17485518.</w:t>
      </w:r>
    </w:p>
    <w:p>
      <w:pPr>
        <w:spacing w:after="40" w:line="300" w:lineRule="auto"/>
        <w:ind w:left="482" w:hanging="482"/>
      </w:pPr>
      <w:r>
        <w:rPr>
          <w:rFonts w:ascii="Times New Roman" w:hAnsi="Times New Roman" w:eastAsia="宋体"/>
          <w:b w:val="0"/>
          <w:sz w:val="18"/>
        </w:rPr>
        <w:t>[33] Giannakis N, Sansbury BE, Patsalos A, Hays TT, Riley CO, Han X, Spite M, Nagy L. Dynamic changes to lipid mediators support transitions among macrophage subtypes during muscle regeneration. *Nat Immunol*, 2019, 20(5): 626-636. DOI: 10.1038/s41590-019-0356-7.</w:t>
      </w:r>
    </w:p>
    <w:p>
      <w:pPr>
        <w:spacing w:after="40" w:line="300" w:lineRule="auto"/>
        <w:ind w:left="482" w:hanging="482"/>
      </w:pPr>
      <w:r>
        <w:rPr>
          <w:rFonts w:ascii="Times New Roman" w:hAnsi="Times New Roman" w:eastAsia="宋体"/>
          <w:b w:val="0"/>
          <w:sz w:val="18"/>
        </w:rPr>
        <w:t>[34] Shono J, Sakaguchi S, Suzuki T, et al. Preliminary time-course study of antiinflammatory macrophage infiltration in crush-injured skeletal muscle[J]. *Animal Science Journal*, 2013, 84(11): 744-750. DOI: 10.1111/asj.12105.</w:t>
      </w:r>
    </w:p>
    <w:p>
      <w:pPr>
        <w:spacing w:after="40" w:line="300" w:lineRule="auto"/>
        <w:ind w:left="482" w:hanging="482"/>
      </w:pPr>
      <w:r>
        <w:rPr>
          <w:rFonts w:ascii="Times New Roman" w:hAnsi="Times New Roman" w:eastAsia="宋体"/>
          <w:b w:val="0"/>
          <w:sz w:val="18"/>
        </w:rPr>
        <w:t>[35] Pu S, Hu G, Cao Y, et al. Regenerative potential of immune cells after traumatic muscle injury[J]. *Front Immunol*, 2025, 16: 1610119. DOI: 10.3389/fimmu.2025.1610119. PMID: 41041326.</w:t>
      </w:r>
    </w:p>
    <w:p>
      <w:pPr>
        <w:spacing w:after="40" w:line="300" w:lineRule="auto"/>
        <w:ind w:left="482" w:hanging="482"/>
      </w:pPr>
      <w:r>
        <w:rPr>
          <w:rFonts w:ascii="Times New Roman" w:hAnsi="Times New Roman" w:eastAsia="宋体"/>
          <w:b w:val="0"/>
          <w:sz w:val="18"/>
        </w:rPr>
        <w:t>[36] Oprescu SN, Yue F, Qiu J, et al. Temporal dynamics and heterogeneity of cell populations during skeletal muscle regeneration[J]. *iScience*, 2020, 23: 100993. DOI: 10.1016/j.isci.2020.100993.</w:t>
      </w:r>
    </w:p>
    <w:p>
      <w:pPr>
        <w:spacing w:after="40" w:line="300" w:lineRule="auto"/>
        <w:ind w:left="482" w:hanging="482"/>
      </w:pPr>
      <w:r>
        <w:rPr>
          <w:rFonts w:ascii="Times New Roman" w:hAnsi="Times New Roman" w:eastAsia="宋体"/>
          <w:b w:val="0"/>
          <w:sz w:val="18"/>
        </w:rPr>
        <w:t>[37] Dakin SG, Newton J, Martinez FO, et al. Chronic inflammation is a feature of Achilles tendinopathy and rupture[J]. *Br J Sports Med*, 2018, 52(6): 359-367. DOI: 10.1136/bjsports-2017-098161. PMID: 29118051.</w:t>
      </w:r>
    </w:p>
    <w:p>
      <w:pPr>
        <w:spacing w:after="40" w:line="300" w:lineRule="auto"/>
        <w:ind w:left="482" w:hanging="482"/>
      </w:pPr>
      <w:r>
        <w:rPr>
          <w:rFonts w:ascii="Times New Roman" w:hAnsi="Times New Roman" w:eastAsia="宋体"/>
          <w:b w:val="0"/>
          <w:sz w:val="18"/>
        </w:rPr>
        <w:t>[38] Chazaud B. Macrophages: supportive cells for tissue repair and regeneration[J]. *Immunobiology*, 2014, 219(3): 172-178. DOI: 10.1016/j.imbio.2013.09.001. PMID: 24080029.</w:t>
      </w:r>
    </w:p>
    <w:p>
      <w:pPr>
        <w:spacing w:after="40" w:line="300" w:lineRule="auto"/>
        <w:ind w:left="482" w:hanging="482"/>
      </w:pPr>
      <w:r>
        <w:rPr>
          <w:rFonts w:ascii="Times New Roman" w:hAnsi="Times New Roman" w:eastAsia="宋体"/>
          <w:b w:val="0"/>
          <w:sz w:val="18"/>
        </w:rPr>
        <w:t>[39] Saclier M, Yacoub-Youssef H, Mackey AL, et al. Differentially activated macrophages orchestrate myogenic precursor cell fate during human skeletal muscle regeneration. *Stem Cells*, 2013, 31(2): 384-396.</w:t>
      </w:r>
    </w:p>
    <w:p>
      <w:pPr>
        <w:spacing w:after="40" w:line="300" w:lineRule="auto"/>
        <w:ind w:left="482" w:hanging="482"/>
      </w:pPr>
      <w:r>
        <w:rPr>
          <w:rFonts w:ascii="Times New Roman" w:hAnsi="Times New Roman" w:eastAsia="宋体"/>
          <w:b w:val="0"/>
          <w:sz w:val="18"/>
        </w:rPr>
        <w:t>[40] Mouton AJ, DeLeon-Pennell KY, Rivera Gonzalez OJ, et al. Mapping macrophage polarization over the myocardial infarction time continuum[J]. *Basic Res Cardiol*, 2018, 113(4): 26. DOI: 10.1007/s00395-018-0686-x. PMID: 29868933.</w:t>
      </w:r>
    </w:p>
    <w:p>
      <w:pPr>
        <w:spacing w:after="40" w:line="300" w:lineRule="auto"/>
        <w:ind w:left="482" w:hanging="482"/>
      </w:pPr>
      <w:r>
        <w:rPr>
          <w:rFonts w:ascii="Times New Roman" w:hAnsi="Times New Roman" w:eastAsia="宋体"/>
          <w:b w:val="0"/>
          <w:sz w:val="18"/>
        </w:rPr>
        <w:t>[41] Chan ASF, Greiner J, Marschhäuser L, Brennan TA, Perez-Feliz S, Agrawal A, Hemmer H, et al. Spatiotemporal dynamics of the cardioimmune niche during lesion repair. *Nat Cardiovasc Res*, 2025, 4: 1550-1572. DOI: 10.1038/s44161-025-00739-6</w:t>
      </w:r>
    </w:p>
    <w:p>
      <w:pPr>
        <w:spacing w:after="40" w:line="300" w:lineRule="auto"/>
        <w:ind w:left="482" w:hanging="482"/>
      </w:pPr>
      <w:r>
        <w:rPr>
          <w:rFonts w:ascii="Times New Roman" w:hAnsi="Times New Roman" w:eastAsia="宋体"/>
          <w:b w:val="0"/>
          <w:sz w:val="18"/>
        </w:rPr>
        <w:t>[42] Tian J, et al. Metabolic Reprogramming Intermediates of Glucose Regulate Macrophage Polarization: An Important Direction for Ameliorating Pulmonary Vascular Remodeling. *J Pharmacol Exp Ther*, 2025, 392(4): 100045. PMC12636856.</w:t>
      </w:r>
    </w:p>
    <w:p>
      <w:pPr>
        <w:spacing w:after="40" w:line="300" w:lineRule="auto"/>
        <w:ind w:left="482" w:hanging="482"/>
      </w:pPr>
      <w:r>
        <w:rPr>
          <w:rFonts w:ascii="Times New Roman" w:hAnsi="Times New Roman" w:eastAsia="宋体"/>
          <w:b w:val="0"/>
          <w:sz w:val="18"/>
        </w:rPr>
        <w:t>[43] O'Neill LA, Kishton RJ, Rathmell J. A guide to immunometabolism for immunologists[J]. *Nat Rev Immunol*, 2016, 16(9): 553-565. DOI: 10.1038/nri.2016.70. PMID: 27396447.</w:t>
      </w:r>
    </w:p>
    <w:p>
      <w:pPr>
        <w:spacing w:after="40" w:line="300" w:lineRule="auto"/>
        <w:ind w:left="482" w:hanging="482"/>
      </w:pPr>
      <w:r>
        <w:rPr>
          <w:rFonts w:ascii="Times New Roman" w:hAnsi="Times New Roman" w:eastAsia="宋体"/>
          <w:b w:val="0"/>
          <w:sz w:val="18"/>
        </w:rPr>
        <w:t>[44] Nomura M, Liu J, Rovira II, et al. Fatty acid oxidation in macrophage polarization[J]. *Nat Immunol*, 2016, 17(3): 216-217. DOI: 10.1038/ni.3366. PMID: 26882249.</w:t>
      </w:r>
    </w:p>
    <w:p>
      <w:pPr>
        <w:spacing w:after="40" w:line="300" w:lineRule="auto"/>
        <w:ind w:left="482" w:hanging="482"/>
      </w:pPr>
      <w:r>
        <w:rPr>
          <w:rFonts w:ascii="Times New Roman" w:hAnsi="Times New Roman" w:eastAsia="宋体"/>
          <w:b w:val="0"/>
          <w:sz w:val="18"/>
        </w:rPr>
        <w:t>[45] 腺苷酸活化蛋白激酶介导巨噬细胞脂肪酸氧化：中医药调控巨噬细胞极化研究. *中国组织工程研究*, 2025, 29(18): 3906-3917. DOI: 10.12307/2025.429</w:t>
      </w:r>
    </w:p>
    <w:p>
      <w:pPr>
        <w:spacing w:after="40" w:line="300" w:lineRule="auto"/>
        <w:ind w:left="482" w:hanging="482"/>
      </w:pPr>
      <w:r>
        <w:rPr>
          <w:rFonts w:ascii="Times New Roman" w:hAnsi="Times New Roman" w:eastAsia="宋体"/>
          <w:b w:val="0"/>
          <w:sz w:val="18"/>
        </w:rPr>
        <w:t>[46] Remmerie A, Scott CL. Macrophages and lipid metabolism[J]. *Cell Immunol*, 2018, 330: 27-42. DOI: 10.1016/j.cellimm.2018.01.020. PMID: 29429624.</w:t>
      </w:r>
    </w:p>
    <w:p>
      <w:pPr>
        <w:spacing w:after="40" w:line="300" w:lineRule="auto"/>
        <w:ind w:left="482" w:hanging="482"/>
      </w:pPr>
      <w:r>
        <w:rPr>
          <w:rFonts w:ascii="Times New Roman" w:hAnsi="Times New Roman" w:eastAsia="宋体"/>
          <w:b w:val="0"/>
          <w:sz w:val="18"/>
        </w:rPr>
        <w:t>[47] O'Neill LA, Hardie DG. Metabolism of inflammation limited by AMPK and pseudo-starvation[J]. *Nature*, 2013, 493(7432): 346-355. DOI: 10.1038/nature11862. PMID: 23325217.</w:t>
      </w:r>
    </w:p>
    <w:p>
      <w:pPr>
        <w:spacing w:after="40" w:line="300" w:lineRule="auto"/>
        <w:ind w:left="482" w:hanging="482"/>
      </w:pPr>
      <w:r>
        <w:rPr>
          <w:rFonts w:ascii="Times New Roman" w:hAnsi="Times New Roman" w:eastAsia="宋体"/>
          <w:b w:val="0"/>
          <w:sz w:val="18"/>
        </w:rPr>
        <w:t>[48] Bronte V, Zanovello P. Regulation of immune responses by L-arginine metabolism[J]. *Nat Rev Immunol*, 2005, 5(8): 641-654. DOI: 10.1038/nri1668. PMID: 16056256.</w:t>
      </w:r>
    </w:p>
    <w:p>
      <w:pPr>
        <w:spacing w:after="40" w:line="300" w:lineRule="auto"/>
        <w:ind w:left="482" w:hanging="482"/>
      </w:pPr>
      <w:r>
        <w:rPr>
          <w:rFonts w:ascii="Times New Roman" w:hAnsi="Times New Roman" w:eastAsia="宋体"/>
          <w:b w:val="0"/>
          <w:sz w:val="18"/>
        </w:rPr>
        <w:t>[49] Liu PS, Wang H, Li X, et al. α-ketoglutarate orchestrates macrophage activation through metabolic and epigenetic reprogramming[J]. *Nat Immunol*, 2017, 18(9): 985-994. DOI: 10.1038/ni.3796. PMID: 28714978.</w:t>
      </w:r>
    </w:p>
    <w:p>
      <w:pPr>
        <w:spacing w:after="40" w:line="300" w:lineRule="auto"/>
        <w:ind w:left="482" w:hanging="482"/>
      </w:pPr>
      <w:r>
        <w:rPr>
          <w:rFonts w:ascii="Times New Roman" w:hAnsi="Times New Roman" w:eastAsia="宋体"/>
          <w:b w:val="0"/>
          <w:sz w:val="18"/>
        </w:rPr>
        <w:t>[50] Pålsson-McDermott EM, O'Neill LAJ. Gang of 3: how the Krebs cycle-linked metabolites itaconate, succinate, and fumarate regulate macrophages and inflammation[J]. *Cell Metab*, 2025, 37(5): 1049-1059. DOI: 10.1016/j.cmet.2025.03.004. PMID: 40169002.</w:t>
      </w:r>
    </w:p>
    <w:p>
      <w:pPr>
        <w:spacing w:after="40" w:line="300" w:lineRule="auto"/>
        <w:ind w:left="482" w:hanging="482"/>
      </w:pPr>
      <w:r>
        <w:rPr>
          <w:rFonts w:ascii="Times New Roman" w:hAnsi="Times New Roman" w:eastAsia="宋体"/>
          <w:b w:val="0"/>
          <w:sz w:val="18"/>
        </w:rPr>
        <w:t>[51] Mounier R, Théret M, Arnold L, Cuvellier S, Bultot L, Göransson O, Sanz N, Ferry A, Sakamoto K, Foretz M, Viollet B, Chazaud B. AMPKα1 regulates macrophage skewing at the time of resolution of inflammation during skeletal muscle regeneration. *Cell Metab*, 2013, 18(2): 251-264. DOI: 10.1016/j.cmet.2013.06.017. PMID: 23931756.</w:t>
      </w:r>
    </w:p>
    <w:p>
      <w:pPr>
        <w:spacing w:after="40" w:line="300" w:lineRule="auto"/>
        <w:ind w:left="482" w:hanging="482"/>
      </w:pPr>
      <w:r>
        <w:rPr>
          <w:rFonts w:ascii="Times New Roman" w:hAnsi="Times New Roman" w:eastAsia="宋体"/>
          <w:b w:val="0"/>
          <w:sz w:val="18"/>
        </w:rPr>
        <w:t>[52] Juban G, Chazaud B. Metabolic regulation of macrophages during tissue repair: insights from skeletal muscle regeneration. *FEBS Lett*, 2017, 591(19): 3007-3021. DOI: 10.1002/1873-3468.12703.</w:t>
      </w:r>
    </w:p>
    <w:p>
      <w:pPr>
        <w:spacing w:after="40" w:line="300" w:lineRule="auto"/>
        <w:ind w:left="482" w:hanging="482"/>
      </w:pPr>
      <w:r>
        <w:rPr>
          <w:rFonts w:ascii="Times New Roman" w:hAnsi="Times New Roman" w:eastAsia="宋体"/>
          <w:b w:val="0"/>
          <w:sz w:val="18"/>
        </w:rPr>
        <w:t>[53] Timóteo-Ferreira F, Bergamaschi M, Gamberale R, et al. Single-cell transcriptomics highlights macrophage-driven regulation of EndMT and repair in injured muscle[J]. *Commun Biol*, 2026, 9(1). DOI: 10.1038/s42003-026-10194-z.</w:t>
      </w:r>
    </w:p>
    <w:p>
      <w:pPr>
        <w:spacing w:after="40" w:line="300" w:lineRule="auto"/>
        <w:ind w:left="482" w:hanging="482"/>
      </w:pPr>
      <w:r>
        <w:rPr>
          <w:rFonts w:ascii="Times New Roman" w:hAnsi="Times New Roman" w:eastAsia="宋体"/>
          <w:b w:val="0"/>
          <w:sz w:val="18"/>
        </w:rPr>
        <w:t>[54] Xu A, Xu S, Tan X, et al. Dynamic regulation of macrophage polarization in acute myocardial infarction and its therapeutic potential[J]. *J Inflamm Res*, 2025, 18: 17363-17385. DOI: 10.2147/JIR.S543139.</w:t>
      </w:r>
    </w:p>
    <w:p>
      <w:pPr>
        <w:spacing w:after="40" w:line="300" w:lineRule="auto"/>
        <w:ind w:left="482" w:hanging="482"/>
      </w:pPr>
      <w:r>
        <w:rPr>
          <w:rFonts w:ascii="Times New Roman" w:hAnsi="Times New Roman" w:eastAsia="宋体"/>
          <w:b w:val="0"/>
          <w:sz w:val="18"/>
        </w:rPr>
        <w:t>[55] Wang X, Zhou L. Macrophage infiltration, activation, and therapeutic implication in skeletal muscle injury and repair[J]. *Int J Mol Sci*, 2026, 27(3): 1332. DOI: 10.3390/ijms27031332. PMID: 41683757.</w:t>
      </w:r>
    </w:p>
    <w:p>
      <w:pPr>
        <w:spacing w:after="40" w:line="300" w:lineRule="auto"/>
        <w:ind w:left="482" w:hanging="482"/>
      </w:pPr>
      <w:r>
        <w:rPr>
          <w:rFonts w:ascii="Times New Roman" w:hAnsi="Times New Roman" w:eastAsia="宋体"/>
          <w:b w:val="0"/>
          <w:sz w:val="18"/>
        </w:rPr>
        <w:t>[56] De Santa F, Vitiello L, Torcinaro A, et al. The role of metabolic remodeling in macrophage polarization and its effect on skeletal muscle regeneration[J]. *Antioxid Redox Signal*, 2019, 30(12): 1553-1598. DOI: 10.1089/ars.2017.7420. PMID: 30070144.</w:t>
      </w:r>
    </w:p>
    <w:p>
      <w:pPr>
        <w:spacing w:after="40" w:line="300" w:lineRule="auto"/>
        <w:ind w:left="482" w:hanging="482"/>
      </w:pPr>
      <w:r>
        <w:rPr>
          <w:rFonts w:ascii="Times New Roman" w:hAnsi="Times New Roman" w:eastAsia="宋体"/>
          <w:b w:val="0"/>
          <w:sz w:val="18"/>
        </w:rPr>
        <w:t>[57] Liu R, Shen Y, Wei Y, et al. The central role of macrophages in skeletal muscle regeneration: phenotypic polarization, metabolic reprogramming, and therapeutic prospects[J]. *Biochem Pharmacol*, 2026, 250(Pt 2): 118025. DOI: 10.1016/j.bcp.2026.118025. PMID: 42069229.</w:t>
      </w:r>
    </w:p>
    <w:p>
      <w:pPr>
        <w:spacing w:after="40" w:line="300" w:lineRule="auto"/>
        <w:ind w:left="482" w:hanging="482"/>
      </w:pPr>
      <w:r>
        <w:rPr>
          <w:rFonts w:ascii="Times New Roman" w:hAnsi="Times New Roman" w:eastAsia="宋体"/>
          <w:b w:val="0"/>
          <w:sz w:val="18"/>
        </w:rPr>
        <w:t>[58] Li SJ, He XL, Zhang XJ, et al. Immunometabolic reprogramming of macrophages: emerging roles in skeletal muscle regeneration and therapeutic perspectives[J]. *Pharmacol Res*, 2026, 224: 108109. DOI: 10.1016/j.phrs.2026.108109. PMID: 41577156.</w:t>
      </w:r>
    </w:p>
    <w:p>
      <w:pPr>
        <w:spacing w:after="40" w:line="300" w:lineRule="auto"/>
        <w:ind w:left="482" w:hanging="482"/>
      </w:pPr>
      <w:r>
        <w:rPr>
          <w:rFonts w:ascii="Times New Roman" w:hAnsi="Times New Roman" w:eastAsia="宋体"/>
          <w:b w:val="0"/>
          <w:sz w:val="18"/>
        </w:rPr>
        <w:t>[59] Perdiguero E, Sousa-Victor P, Ruiz-Bonilla V, Jardí M, Caelles C, Serrano AL, Muñoz-Cánoves P. p38/MKP-1-regulated AKT coordinates macrophage transitions and resolution of inflammation during tissue repair. *J Cell Biol*, 2011, 195(2): 307-322.</w:t>
      </w:r>
    </w:p>
    <w:p>
      <w:pPr>
        <w:spacing w:after="40" w:line="300" w:lineRule="auto"/>
        <w:ind w:left="482" w:hanging="482"/>
      </w:pPr>
      <w:r>
        <w:rPr>
          <w:rFonts w:ascii="Times New Roman" w:hAnsi="Times New Roman" w:eastAsia="宋体"/>
          <w:b w:val="0"/>
          <w:sz w:val="18"/>
        </w:rPr>
        <w:t>[60] Ma Y, Yang F, Wang Y, et al. CaMKKβ is involved in AMP-activated protein kinase activation by baicalin in LKB1 deficient cell lines[J]. *PLoS One*, 2012, 7(10): e47900. DOI: 10.1371/journal.pone.0047900. PMID: 23110126.</w:t>
      </w:r>
    </w:p>
    <w:p>
      <w:pPr>
        <w:spacing w:after="40" w:line="300" w:lineRule="auto"/>
        <w:ind w:left="482" w:hanging="482"/>
      </w:pPr>
      <w:r>
        <w:rPr>
          <w:rFonts w:ascii="Times New Roman" w:hAnsi="Times New Roman" w:eastAsia="宋体"/>
          <w:b w:val="0"/>
          <w:sz w:val="18"/>
        </w:rPr>
        <w:t>[61] Heterogeneous Macrophage Activation in Acute Skeletal Muscle Sterile Injury and mdx</w:t>
      </w:r>
      <w:r>
        <w:rPr>
          <w:rFonts w:ascii="Times New Roman" w:hAnsi="Times New Roman" w:eastAsia="宋体"/>
          <w:b w:val="0"/>
          <w:sz w:val="18"/>
          <w:vertAlign w:val="superscript"/>
        </w:rPr>
        <w:t>5cv</w:t>
      </w:r>
      <w:r>
        <w:rPr>
          <w:rFonts w:ascii="Times New Roman" w:hAnsi="Times New Roman" w:eastAsia="宋体"/>
          <w:b w:val="0"/>
          <w:sz w:val="18"/>
        </w:rPr>
        <w:t xml:space="preserve"> Model of Muscular Dystrophy. *Int J Mol Sci*, 2025, 26(16): 8098. DOI: 10.3390/ijms26168098</w:t>
      </w:r>
    </w:p>
    <w:p>
      <w:pPr>
        <w:spacing w:after="40" w:line="300" w:lineRule="auto"/>
        <w:ind w:left="482" w:hanging="482"/>
      </w:pPr>
      <w:r>
        <w:rPr>
          <w:rFonts w:ascii="Times New Roman" w:hAnsi="Times New Roman" w:eastAsia="宋体"/>
          <w:b w:val="0"/>
          <w:sz w:val="18"/>
        </w:rPr>
        <w:t>[62] Chazaud B. Inflammation and Skeletal Muscle Regeneration: Leave It to the Macrophages! *Trends Immunol*, 2020, 41(6): 481-492.</w:t>
      </w:r>
    </w:p>
    <w:p>
      <w:pPr>
        <w:spacing w:after="40" w:line="300" w:lineRule="auto"/>
        <w:ind w:left="482" w:hanging="482"/>
      </w:pPr>
      <w:r>
        <w:rPr>
          <w:rFonts w:ascii="Times New Roman" w:hAnsi="Times New Roman" w:eastAsia="宋体"/>
          <w:b w:val="0"/>
          <w:sz w:val="18"/>
        </w:rPr>
        <w:t>[63] Bondesen BA, Mills ST, Kegley KM, Pavlath GK. The COX-2 pathway is essential during early stages of skeletal muscle regeneration. *Am J Physiol Cell Physiol*, 2004, 287(2): C475-C483.</w:t>
      </w:r>
    </w:p>
    <w:p>
      <w:pPr>
        <w:spacing w:after="40" w:line="300" w:lineRule="auto"/>
        <w:ind w:left="482" w:hanging="482"/>
      </w:pPr>
      <w:r>
        <w:rPr>
          <w:rFonts w:ascii="Times New Roman" w:hAnsi="Times New Roman" w:eastAsia="宋体"/>
          <w:b w:val="0"/>
          <w:sz w:val="18"/>
        </w:rPr>
        <w:t>[64] Shen W, Li Y, Tang Y, Cummins J, Huard J. NS-398, a cyclooxygenase-2-specific inhibitor, delays skeletal muscle healing by decreasing regeneration and promoting fibrosis. *Am J Pathol*, 2005, 167(4): 1105-1117.</w:t>
      </w:r>
    </w:p>
    <w:p>
      <w:pPr>
        <w:spacing w:after="40" w:line="300" w:lineRule="auto"/>
        <w:ind w:left="482" w:hanging="482"/>
      </w:pPr>
      <w:r>
        <w:rPr>
          <w:rFonts w:ascii="Times New Roman" w:hAnsi="Times New Roman" w:eastAsia="宋体"/>
          <w:b w:val="0"/>
          <w:sz w:val="18"/>
        </w:rPr>
        <w:t>[65] Miyazaki A, Kawashima M, Nagata I, et al. Icing after skeletal muscle injury decreases M1 macrophage accumulation and TNF-α expression during the early phase of muscle regeneration in rats[J]. *Histochem Cell Biol*, 2023, 159(1): 77-89. DOI: 10.1007/s00418-022-02143-8. PMID: 36114866.</w:t>
      </w:r>
    </w:p>
    <w:p>
      <w:pPr>
        <w:spacing w:after="40" w:line="300" w:lineRule="auto"/>
        <w:ind w:left="482" w:hanging="482"/>
      </w:pPr>
      <w:r>
        <w:rPr>
          <w:rFonts w:ascii="Times New Roman" w:hAnsi="Times New Roman" w:eastAsia="宋体"/>
          <w:b w:val="0"/>
          <w:sz w:val="18"/>
        </w:rPr>
        <w:t>[66] Bernard C, Zavoriti A, Pucelle Q, Chazaud B, Gondin J. Role of macrophages during skeletal muscle regeneration and hypertrophy—Implications for immunomodulatory strategies. *Physiol Rep*, 2022, 10: e15480. DOI: 10.14814/phy2.15480.</w:t>
      </w:r>
    </w:p>
    <w:p>
      <w:pPr>
        <w:spacing w:after="40" w:line="300" w:lineRule="auto"/>
        <w:ind w:left="482" w:hanging="482"/>
      </w:pPr>
      <w:r>
        <w:rPr>
          <w:rFonts w:ascii="Times New Roman" w:hAnsi="Times New Roman" w:eastAsia="宋体"/>
          <w:b w:val="0"/>
          <w:sz w:val="18"/>
        </w:rPr>
        <w:t>[67] Xiong BB, Zhuo YM, Wang H, et al. Macrophage polarization in disease therapy: insights from astragaloside IV and cycloastragenol[J]. *Front Pharmacol*, 2025, 16: 1598022. DOI: 10.3389/fphar.2025.1598022. PMID: 40487409.</w:t>
      </w:r>
    </w:p>
    <w:p>
      <w:pPr>
        <w:spacing w:after="40" w:line="300" w:lineRule="auto"/>
        <w:ind w:left="482" w:hanging="482"/>
      </w:pPr>
      <w:r>
        <w:rPr>
          <w:rFonts w:ascii="Times New Roman" w:hAnsi="Times New Roman" w:eastAsia="宋体"/>
          <w:b w:val="0"/>
          <w:sz w:val="18"/>
        </w:rPr>
        <w:t>[68] Leng B, Zhang Y, Liu X, et al. Astragaloside IV suppresses high glucose-induced NLRP3 inflammasome activation by inhibiting TLR4/NF-κB and CaSR[J]. *Mediators Inflamm*, 2019, 2019: 1082497.</w:t>
      </w:r>
    </w:p>
    <w:p>
      <w:pPr>
        <w:spacing w:after="40" w:line="300" w:lineRule="auto"/>
        <w:ind w:left="482" w:hanging="482"/>
      </w:pPr>
      <w:r>
        <w:rPr>
          <w:rFonts w:ascii="Times New Roman" w:hAnsi="Times New Roman" w:eastAsia="宋体"/>
          <w:b w:val="0"/>
          <w:sz w:val="18"/>
        </w:rPr>
        <w:t>[69] Wu C, Hou S, Liu M, Feng H, Jiang X, Ji N, Fang F. Notoginsenoside R1 Alleviates Macrophage Inflammatory Responses via Modulating the JAK1/STAT3 Pathway. *J Cell Biochem*, 2026, 127(8): e70112. DOI: 10.1002/jcb.70112. PMID: 42522926.</w:t>
      </w:r>
    </w:p>
    <w:p>
      <w:pPr>
        <w:spacing w:after="40" w:line="300" w:lineRule="auto"/>
        <w:ind w:left="482" w:hanging="482"/>
      </w:pPr>
      <w:r>
        <w:rPr>
          <w:rFonts w:ascii="Times New Roman" w:hAnsi="Times New Roman" w:eastAsia="宋体"/>
          <w:b w:val="0"/>
          <w:sz w:val="18"/>
        </w:rPr>
        <w:t>[70] Li Y, et al. Natural saponins and macrophage polarization: Mechanistic insights and therapeutic perspectives in disease management. *PMC*, 2025. PMC12098594.</w:t>
      </w:r>
    </w:p>
    <w:p>
      <w:pPr>
        <w:spacing w:after="40" w:line="300" w:lineRule="auto"/>
        <w:ind w:left="482" w:hanging="482"/>
      </w:pPr>
      <w:r>
        <w:rPr>
          <w:rFonts w:ascii="Times New Roman" w:hAnsi="Times New Roman" w:eastAsia="宋体"/>
          <w:b w:val="0"/>
          <w:sz w:val="18"/>
        </w:rPr>
        <w:t>[71] Cheng JW, Yu Y, Zong SY, Cai WW, Wang Y, Song YN, Xian H, Wei F. Berberine ameliorates collagen-induced arthritis in mice by restoring macrophage polarization via AMPK/mTORC1 pathway switching glycolytic reprogramming. *Int Immunopharmacol*, 2023, 124(Pt B): 111024. DOI: 10.1016/j.intimp.2023.111024. PMID: 37827054.</w:t>
      </w:r>
    </w:p>
    <w:p>
      <w:pPr>
        <w:spacing w:after="40" w:line="300" w:lineRule="auto"/>
        <w:ind w:left="482" w:hanging="482"/>
      </w:pPr>
      <w:r>
        <w:rPr>
          <w:rFonts w:ascii="Times New Roman" w:hAnsi="Times New Roman" w:eastAsia="宋体"/>
          <w:b w:val="0"/>
          <w:sz w:val="18"/>
        </w:rPr>
        <w:t>[72] Jeong HW, Hsu KC, Lee JW, Ham JK, Huh JY, Shin HJ, Kim WS, Kim JB. Berberine suppresses proinflammatory responses through AMPK activation in macrophages. *Am J Physiol Endocrinol Metab*, 2009, 296(4): E955-E964. DOI: 10.1152/ajpendo.90599.2008</w:t>
      </w:r>
    </w:p>
    <w:p>
      <w:pPr>
        <w:spacing w:after="40" w:line="300" w:lineRule="auto"/>
        <w:ind w:left="482" w:hanging="482"/>
      </w:pPr>
      <w:r>
        <w:rPr>
          <w:rFonts w:ascii="Times New Roman" w:hAnsi="Times New Roman" w:eastAsia="宋体"/>
          <w:b w:val="0"/>
          <w:sz w:val="18"/>
        </w:rPr>
        <w:t>[73] Fang R, Zhou R, Ju D, Li M, Wang H, Pan L, Wang X, Han M, Yu Y. Zhen-Wu-Tang Protects against Myocardial Fibrosis by Inhibiting M1 Macrophage Polarization via the TLR4/NF-κB Pathway. *Phytomedicine*, 2024, 130: 155719. DOI: 10.1016/j.phymed.2024.155719</w:t>
      </w:r>
    </w:p>
    <w:p>
      <w:pPr>
        <w:spacing w:after="40" w:line="300" w:lineRule="auto"/>
        <w:ind w:left="482" w:hanging="482"/>
      </w:pPr>
      <w:r>
        <w:rPr>
          <w:rFonts w:ascii="Times New Roman" w:hAnsi="Times New Roman" w:eastAsia="宋体"/>
          <w:b w:val="0"/>
          <w:sz w:val="18"/>
        </w:rPr>
        <w:t>[74] Ferulic Acid Attenuated Interleukin-17A-Induced Lung Inflammation by Modulating Interleukin-17 Signaling and Tissue Remodeling in a Mouse Model. *ACS Pharmacol Transl Sci*, 2025. DOI: 10.1021/acsptsci.5c00490</w:t>
      </w:r>
    </w:p>
    <w:p>
      <w:pPr>
        <w:spacing w:after="40" w:line="300" w:lineRule="auto"/>
        <w:ind w:left="482" w:hanging="482"/>
      </w:pPr>
      <w:r>
        <w:rPr>
          <w:rFonts w:ascii="Times New Roman" w:hAnsi="Times New Roman" w:eastAsia="宋体"/>
          <w:b w:val="0"/>
          <w:sz w:val="18"/>
        </w:rPr>
        <w:t>[75] 车荟, 丁文鸽, 冯仕明, 等. 急性外侧踝关节扭伤非手术治疗专家共识（2025版）[J]. 中华创伤杂志, 2025, 41(6): 517-529.</w:t>
      </w:r>
    </w:p>
    <w:p>
      <w:pPr>
        <w:spacing w:after="40" w:line="300" w:lineRule="auto"/>
        <w:ind w:left="482" w:hanging="482"/>
      </w:pPr>
      <w:r>
        <w:rPr>
          <w:rFonts w:ascii="Times New Roman" w:hAnsi="Times New Roman" w:eastAsia="宋体"/>
          <w:b w:val="0"/>
          <w:sz w:val="18"/>
        </w:rPr>
        <w:t>[76] 国家创伤医学中心, 中华医学会疼痛学分会, 中国医师协会创伤外科医师分会, 等. 急性闭合性软组织损伤诊疗与疼痛管理专家共识[J]. 中华医学杂志, 2021, 101(21): 1553-1559. DOI: 10.3760/cma.j.cn112137-20210123-00225.</w:t>
      </w:r>
    </w:p>
    <w:p>
      <w:pPr>
        <w:spacing w:after="40" w:line="300" w:lineRule="auto"/>
        <w:ind w:left="482" w:hanging="482"/>
      </w:pPr>
      <w:r>
        <w:rPr>
          <w:rFonts w:ascii="Times New Roman" w:hAnsi="Times New Roman" w:eastAsia="宋体"/>
          <w:b w:val="0"/>
          <w:sz w:val="18"/>
        </w:rPr>
        <w:t>[77] 张磊, 胡跃林, 华英汇, 等. 急性外踝韧带损伤中药外治方案专家共识[J]. 中国骨伤, 2024, 37(11): 1135-1140. DOI: 10.12200/j.issn.1003-0034.20240503.</w:t>
      </w:r>
    </w:p>
    <w:p>
      <w:pPr>
        <w:spacing w:after="40" w:line="300" w:lineRule="auto"/>
        <w:ind w:left="482" w:hanging="482"/>
      </w:pPr>
      <w:r>
        <w:rPr>
          <w:rFonts w:ascii="Times New Roman" w:hAnsi="Times New Roman" w:eastAsia="宋体"/>
          <w:b w:val="0"/>
          <w:sz w:val="18"/>
        </w:rPr>
        <w:t>[78] 韩庆欣, 张磊, 吴俊莹, 等. 急性外踝韧带损伤三期中药外治方案的早期临床疗效观察[J]. 中国骨伤, 2024, 37(10): 997-1002.</w:t>
      </w:r>
    </w:p>
    <w:p>
      <w:pPr>
        <w:spacing w:after="40" w:line="300" w:lineRule="auto"/>
        <w:ind w:left="482" w:hanging="482"/>
      </w:pPr>
      <w:r>
        <w:rPr>
          <w:rFonts w:ascii="Times New Roman" w:hAnsi="Times New Roman" w:eastAsia="宋体"/>
          <w:b w:val="0"/>
          <w:sz w:val="18"/>
        </w:rPr>
        <w:t>[79] 中药有效成分及复方通过PI3K/Akt信号通路促进慢性创面愈合综述. *中国药房*, 2025, 36(8).</w:t>
      </w:r>
    </w:p>
    <w:p>
      <w:pPr>
        <w:spacing w:after="40" w:line="300" w:lineRule="auto"/>
        <w:ind w:left="482" w:hanging="482"/>
      </w:pPr>
      <w:r>
        <w:rPr>
          <w:rFonts w:ascii="Times New Roman" w:hAnsi="Times New Roman" w:eastAsia="宋体"/>
          <w:b w:val="0"/>
          <w:sz w:val="18"/>
        </w:rPr>
        <w:t>[80] 李龙剑, 张艳, 彭丽华, 等. 外用中药治疗皮肤创伤的研究进展[J]. 中国现代应用药学, 2015, 32(10): 1285-1288. DOI: 10.13748/j.cnki.issn1007-7693.2015.10.029.</w:t>
      </w:r>
    </w:p>
    <w:p>
      <w:pPr>
        <w:spacing w:after="40" w:line="300" w:lineRule="auto"/>
        <w:ind w:left="482" w:hanging="482"/>
      </w:pPr>
      <w:r>
        <w:rPr>
          <w:rFonts w:ascii="Times New Roman" w:hAnsi="Times New Roman" w:eastAsia="宋体"/>
          <w:b w:val="0"/>
          <w:sz w:val="18"/>
        </w:rPr>
        <w:t>[81] 刘天浩, 盛颖玥, 张行, 等. 桃红四物汤对放射性肠炎小鼠肠道微生物多样性的影响[J]. *中国微生态学杂志*, 2024, 36(4): 379-389. DOI: 10.13381/j.cnki.cjm.202404002.</w:t>
      </w:r>
    </w:p>
    <w:p>
      <w:pPr>
        <w:spacing w:after="40" w:line="300" w:lineRule="auto"/>
        <w:ind w:left="482" w:hanging="482"/>
      </w:pPr>
      <w:r>
        <w:rPr>
          <w:rFonts w:ascii="Times New Roman" w:hAnsi="Times New Roman" w:eastAsia="宋体"/>
          <w:b w:val="0"/>
          <w:sz w:val="18"/>
        </w:rPr>
        <w:t>[82] 刘梦华, 程序, 赵梦竹, 等. 血府逐瘀胶囊对动脉粥样硬化小鼠巨噬细胞极化的影响[J]. *中国实验方剂学杂志*, 2024, 30(12): 54-61. DOI: 10.13422/j.cnki.syfjx.20240714.</w:t>
      </w:r>
    </w:p>
    <w:p>
      <w:pPr>
        <w:spacing w:after="40" w:line="300" w:lineRule="auto"/>
        <w:ind w:left="482" w:hanging="482"/>
      </w:pPr>
      <w:r>
        <w:rPr>
          <w:rFonts w:ascii="Times New Roman" w:hAnsi="Times New Roman" w:eastAsia="宋体"/>
          <w:b w:val="0"/>
          <w:sz w:val="18"/>
        </w:rPr>
        <w:t>[83] 周静, 杨林, 王建华, 等. 中药单体化合物诱导巨噬细胞表型极化的作用机制综述. *中国药房*, 2020, 31(15): 1888-1894. DOI: 10.6039/j.issn.1001-0408.2020.15.22</w:t>
      </w:r>
    </w:p>
    <w:p>
      <w:pPr>
        <w:spacing w:after="40" w:line="300" w:lineRule="auto"/>
        <w:ind w:left="482" w:hanging="482"/>
      </w:pPr>
      <w:r>
        <w:rPr>
          <w:rFonts w:ascii="Times New Roman" w:hAnsi="Times New Roman" w:eastAsia="宋体"/>
          <w:b w:val="0"/>
          <w:sz w:val="18"/>
        </w:rPr>
        <w:t>[84] Abudoureyimu A, Chen C, Hu Y, et al. Quercetin alleviates diabetic nephropathy by inhibiting M1 macrophage polarization via targeting NLRC5/NLRP3 pathway[J]. *Cell Immunol*, 2025, 414: 104997. DOI: 10.1016/j.cellimm.2025.104997. PMID: 40570646.</w:t>
      </w:r>
    </w:p>
    <w:p>
      <w:pPr>
        <w:spacing w:after="40" w:line="300" w:lineRule="auto"/>
        <w:ind w:left="482" w:hanging="482"/>
      </w:pPr>
      <w:r>
        <w:rPr>
          <w:rFonts w:ascii="Times New Roman" w:hAnsi="Times New Roman" w:eastAsia="宋体"/>
          <w:b w:val="0"/>
          <w:sz w:val="18"/>
        </w:rPr>
        <w:t>[85] Zhang Y, et al. Puerarin inhibits macrophage M1 polarization by combining STAT1 to reduce myocardial damage in EAM model mice. *Biochem Biophys Res Commun*, 2024, 736: 150838. DOI: 10.1016/j.bbrc.2024.150838</w:t>
      </w:r>
    </w:p>
    <w:p>
      <w:pPr>
        <w:spacing w:after="40" w:line="300" w:lineRule="auto"/>
        <w:ind w:left="482" w:hanging="482"/>
      </w:pPr>
      <w:r>
        <w:rPr>
          <w:rFonts w:ascii="Times New Roman" w:hAnsi="Times New Roman" w:eastAsia="宋体"/>
          <w:b w:val="0"/>
          <w:sz w:val="18"/>
        </w:rPr>
        <w:t>[86] Li H, et al. Puerarin suppresses macrophage M1 polarization to alleviate renal inflammatory injury through antagonizing TLR4/MyD88-mediated NF-κB p65 and JNK/FoxO1 activation. *J Ethnopharmacol*, 2024, 333: 118449. DOI: 10.1016/j.jep.2024.118449</w:t>
      </w:r>
    </w:p>
    <w:p>
      <w:pPr>
        <w:spacing w:after="40" w:line="300" w:lineRule="auto"/>
        <w:ind w:left="482" w:hanging="482"/>
      </w:pPr>
      <w:r>
        <w:rPr>
          <w:rFonts w:ascii="Times New Roman" w:hAnsi="Times New Roman" w:eastAsia="宋体"/>
          <w:b w:val="0"/>
          <w:sz w:val="18"/>
        </w:rPr>
        <w:t>[87] Chen L, et al. Tanshinone IIA Promotes M2 Microglia by ERβ/IL-10 Pathway and Attenuates Neuronal Loss in Mouse TBI Model. *PMC*, 2020. PMC7781361.</w:t>
      </w:r>
    </w:p>
    <w:p>
      <w:pPr>
        <w:spacing w:after="40" w:line="300" w:lineRule="auto"/>
        <w:ind w:left="482" w:hanging="482"/>
      </w:pPr>
      <w:r>
        <w:rPr>
          <w:rFonts w:ascii="Times New Roman" w:hAnsi="Times New Roman" w:eastAsia="宋体"/>
          <w:b w:val="0"/>
          <w:sz w:val="18"/>
        </w:rPr>
        <w:t>[88] Zhou Y, et al. Hydroxysafflor Yellow A Inhibits LPS-Induced NLRP3 Inflammasome Activation via Binding to Xanthine Oxidase in Mouse RAW264.7 Macrophages. *Oxid Med Cell Longev*, 2016: 3961247. DOI: 10.1155/2016/3961247. PMC4940575.</w:t>
      </w:r>
    </w:p>
    <w:p>
      <w:pPr>
        <w:spacing w:after="40" w:line="300" w:lineRule="auto"/>
        <w:ind w:left="482" w:hanging="482"/>
      </w:pPr>
      <w:r>
        <w:rPr>
          <w:rFonts w:ascii="Times New Roman" w:hAnsi="Times New Roman" w:eastAsia="宋体"/>
          <w:b w:val="0"/>
          <w:sz w:val="18"/>
        </w:rPr>
        <w:t>[89] HSYA activates ZBP1-NLRP3 pathway for stroke-heart syndrome. *J Ethnopharmacol*, 2025. DOI: 10.1016/j.jep.2025 (具体卷期待确认). PMID: 40602292.</w:t>
      </w:r>
    </w:p>
    <w:p>
      <w:pPr>
        <w:spacing w:after="40" w:line="300" w:lineRule="auto"/>
        <w:ind w:left="482" w:hanging="482"/>
      </w:pPr>
      <w:r>
        <w:rPr>
          <w:rFonts w:ascii="Times New Roman" w:hAnsi="Times New Roman" w:eastAsia="宋体"/>
          <w:b w:val="0"/>
          <w:sz w:val="18"/>
        </w:rPr>
        <w:t>[90] HSYA confers neuroprotection against acute traumatic brain injury by modulating neuronal autophagy to inhibit NLRP3 inflammasomes. *J Ethnopharmacol*, 2023, 305: 116097. DOI: 10.1016/j.jep.2022.116097</w:t>
      </w:r>
    </w:p>
    <w:p>
      <w:pPr>
        <w:spacing w:after="40" w:line="300" w:lineRule="auto"/>
        <w:ind w:left="482" w:hanging="482"/>
      </w:pPr>
      <w:r>
        <w:rPr>
          <w:rFonts w:ascii="Times New Roman" w:hAnsi="Times New Roman" w:eastAsia="宋体"/>
          <w:b w:val="0"/>
          <w:sz w:val="18"/>
        </w:rPr>
        <w:t>[91] HSYA protects against colitis in mice by suppressing pyroptosis via inhibiting HK1/NLRP3/GSDMD and modulating gut microbiota. *Toxicol Appl Pharmacol*, 2023, 465: 116459. DOI: 10.1016/j.taap.2023.116459</w:t>
      </w:r>
    </w:p>
    <w:p>
      <w:pPr>
        <w:spacing w:after="40" w:line="300" w:lineRule="auto"/>
        <w:ind w:left="482" w:hanging="482"/>
      </w:pPr>
      <w:r>
        <w:rPr>
          <w:rFonts w:ascii="Times New Roman" w:hAnsi="Times New Roman" w:eastAsia="宋体"/>
          <w:b w:val="0"/>
          <w:sz w:val="18"/>
        </w:rPr>
        <w:t>[92] Zhang W, et al. Potential of herbal formulas and bioactive metabolites in treating atherosclerosis: targeted modulation of macrophage polarization. *Front Pharmacol*, 2025, 16: 1631274. DOI: 10.3389/fphar.2025.1631274</w:t>
      </w:r>
    </w:p>
    <w:p>
      <w:pPr>
        <w:spacing w:after="40" w:line="300" w:lineRule="auto"/>
        <w:ind w:left="482" w:hanging="482"/>
      </w:pPr>
      <w:r>
        <w:rPr>
          <w:rFonts w:ascii="Times New Roman" w:hAnsi="Times New Roman" w:eastAsia="宋体"/>
          <w:b w:val="0"/>
          <w:sz w:val="18"/>
        </w:rPr>
        <w:t>[93] 基于网络药理学研究黄连解毒汤调控巨噬细胞极化的作用机制. *中国药房*, 2021, 32(5).</w:t>
      </w:r>
    </w:p>
    <w:p>
      <w:pPr>
        <w:spacing w:after="40" w:line="300" w:lineRule="auto"/>
        <w:ind w:left="482" w:hanging="482"/>
      </w:pPr>
      <w:r>
        <w:rPr>
          <w:rFonts w:ascii="Times New Roman" w:hAnsi="Times New Roman" w:eastAsia="宋体"/>
          <w:b w:val="0"/>
          <w:sz w:val="18"/>
        </w:rPr>
        <w:t>[94] Wang X, Dong L, Li Y, et al. A simplified herbal decoction (NXK) attenuates myocardial infarction by regulating macrophage metabolic reprogramming and phenotypic differentiation via modulation of the HIF-1α/PDK1 axis. *Chin Med*, 2024, 19: 53. DOI: 10.1186/s13020-024-00933-x</w:t>
      </w:r>
    </w:p>
    <w:p>
      <w:pPr>
        <w:spacing w:after="40" w:line="300" w:lineRule="auto"/>
        <w:ind w:left="482" w:hanging="482"/>
      </w:pPr>
      <w:r>
        <w:rPr>
          <w:rFonts w:ascii="Times New Roman" w:hAnsi="Times New Roman" w:eastAsia="宋体"/>
          <w:b w:val="0"/>
          <w:sz w:val="18"/>
        </w:rPr>
        <w:t>[95] Yang T, Xie S, Cao L, et al. Astragaloside IV modulates gut macrophages M1/M2 polarization by reshaping gut microbiota and short chain fatty acids in sepsis. *Shock*, 2024, 61(1): 120-131. DOI: 10.1097/SHK.0000000000002262. PMC11841723.</w:t>
      </w:r>
    </w:p>
    <w:p>
      <w:pPr>
        <w:spacing w:after="40" w:line="300" w:lineRule="auto"/>
        <w:ind w:left="482" w:hanging="482"/>
      </w:pPr>
      <w:r>
        <w:rPr>
          <w:rFonts w:ascii="Times New Roman" w:hAnsi="Times New Roman" w:eastAsia="宋体"/>
          <w:b w:val="0"/>
          <w:sz w:val="18"/>
        </w:rPr>
        <w:t>[96] Wu YF, Chen Y, et al. Sinomenine contributes to the inhibition of the inflammatory response and the improvement of osteoarthritis in mouse-cartilage cells by acting on the Nrf2/HO-1 and NF-κB signaling pathways. *Int Immunopharmacol*, 2019, 75: 105544. DOI: 10.1016/j.intimp.2019.105544</w:t>
      </w:r>
    </w:p>
    <w:p>
      <w:pPr>
        <w:spacing w:after="40" w:line="300" w:lineRule="auto"/>
        <w:ind w:left="482" w:hanging="482"/>
      </w:pPr>
      <w:r>
        <w:rPr>
          <w:rFonts w:ascii="Times New Roman" w:hAnsi="Times New Roman" w:eastAsia="宋体"/>
          <w:b w:val="0"/>
          <w:sz w:val="18"/>
        </w:rPr>
        <w:t>[97] Guo WY, Wu QM, Zeng HF, Chen YL, Xu J, Yu ZY, et al. A sinomenine derivative alleviates bone destruction in collagen-induced arthritis mice by suppressing mitochondrial dysfunction and oxidative stress via the NRF2/HO-1/NQO1 signaling pathway. *Pharmacol Res*, 2025, 215: 107686.</w:t>
      </w:r>
    </w:p>
    <w:p>
      <w:pPr>
        <w:spacing w:after="40" w:line="300" w:lineRule="auto"/>
        <w:ind w:left="482" w:hanging="482"/>
      </w:pPr>
      <w:r>
        <w:rPr>
          <w:rFonts w:ascii="Times New Roman" w:hAnsi="Times New Roman" w:eastAsia="宋体"/>
          <w:b w:val="0"/>
          <w:sz w:val="18"/>
        </w:rPr>
        <w:t>[98] Kong Y, Yang H, Nie R, et al. Berberine as a multi-target therapeutic agent for obesity: from pharmacological mechanisms to clinical evidence[J]. *Eur J Med Res*, 2025, 30(1): 477. DOI: 10.1186/s40001-025-02738-6. PMID: 40506769.</w:t>
      </w:r>
    </w:p>
    <w:p>
      <w:pPr>
        <w:spacing w:after="40" w:line="300" w:lineRule="auto"/>
        <w:ind w:left="482" w:hanging="482"/>
      </w:pPr>
      <w:r>
        <w:rPr>
          <w:rFonts w:ascii="Times New Roman" w:hAnsi="Times New Roman" w:eastAsia="宋体"/>
          <w:b w:val="0"/>
          <w:sz w:val="18"/>
        </w:rPr>
        <w:t>[99] Wang Y, et al. Resveratrol-driven macrophage polarization: unveiling mechanisms and therapeutic potential. *Front Pharmacol*, 2024, 15: 1516609. DOI: 10.3389/fphar.2024.1516609</w:t>
      </w:r>
    </w:p>
    <w:p>
      <w:pPr>
        <w:spacing w:after="40" w:line="300" w:lineRule="auto"/>
        <w:ind w:left="482" w:hanging="482"/>
      </w:pPr>
      <w:r>
        <w:rPr>
          <w:rFonts w:ascii="Times New Roman" w:hAnsi="Times New Roman" w:eastAsia="宋体"/>
          <w:b w:val="0"/>
          <w:sz w:val="18"/>
        </w:rPr>
        <w:t>[100] Blomgran P, Blomgran R, Ernerudh J, Aspenberg P. A possible link between loading, inflammation and healing: immune cell populations during tendon healing in the rat[J]. *Sci Rep*, 2016, 6: 29824. DOI: 10.1038/srep29824. PMID: 27405922.</w:t>
      </w:r>
    </w:p>
    <w:p>
      <w:pPr>
        <w:spacing w:after="40" w:line="300" w:lineRule="auto"/>
        <w:ind w:left="482" w:hanging="482"/>
      </w:pPr>
      <w:r>
        <w:rPr>
          <w:rFonts w:ascii="Times New Roman" w:hAnsi="Times New Roman" w:eastAsia="宋体"/>
          <w:b w:val="0"/>
          <w:sz w:val="18"/>
        </w:rPr>
        <w:t>[101] Ackerman JE, Best KT, O'Keefe RJ, Loiselle AE. Deletion of EP4 in S100a4-lineage cells reduces scar tissue formation during early but not later stages of tendon healing[J]. *Sci Rep*, 2017, 7(1): 8658. DOI: 10.1038/s41598-017-09407-7. PMID: 28819185.</w:t>
      </w:r>
    </w:p>
    <w:p>
      <w:pPr>
        <w:spacing w:after="40" w:line="300" w:lineRule="auto"/>
        <w:ind w:left="482" w:hanging="482"/>
      </w:pPr>
      <w:r>
        <w:rPr>
          <w:rFonts w:ascii="Times New Roman" w:hAnsi="Times New Roman" w:eastAsia="宋体"/>
          <w:b w:val="0"/>
          <w:sz w:val="18"/>
        </w:rPr>
        <w:t>[102] Wang Y, Chen L, Li H, et al. Moxibustion Alleviates Inflammation via SIRT5-mediated Post-translational Modification and Macrophage Polarization. *Inflammation*, 2025, 48: 489-506. DOI: 10.1007/s10753-025-02239-y</w:t>
      </w:r>
    </w:p>
    <w:p>
      <w:pPr>
        <w:spacing w:after="40" w:line="300" w:lineRule="auto"/>
        <w:ind w:left="482" w:hanging="482"/>
      </w:pPr>
      <w:r>
        <w:rPr>
          <w:rFonts w:ascii="Times New Roman" w:hAnsi="Times New Roman" w:eastAsia="宋体"/>
          <w:b w:val="0"/>
          <w:sz w:val="18"/>
        </w:rPr>
        <w:t>[103] Bioactivities and Mechanisms of Action of Sinomenine and Its Derivatives: A Comprehensive Review. *Molecules*, 2024, 29(2): 540. DOI: 10.3390/molecules29020540</w:t>
      </w:r>
    </w:p>
    <w:p>
      <w:pPr>
        <w:spacing w:after="40" w:line="300" w:lineRule="auto"/>
        <w:ind w:left="482" w:hanging="482"/>
      </w:pPr>
      <w:r>
        <w:rPr>
          <w:rFonts w:ascii="Times New Roman" w:hAnsi="Times New Roman" w:eastAsia="宋体"/>
          <w:b w:val="0"/>
          <w:sz w:val="18"/>
        </w:rPr>
        <w:t>[104] ZHU M, ZHAO D, LU C, et al. Effectiveness of gua sha with Masanggoubang oil in rats with chronic soft tissue injury[J]. *Adv Clin Exp Med*, 2025, 34(3): 421-432. DOI: 10.17219/acem/186865. PMID: 39868741.</w:t>
      </w:r>
    </w:p>
    <w:p>
      <w:pPr>
        <w:spacing w:after="40" w:line="300" w:lineRule="auto"/>
        <w:ind w:left="482" w:hanging="482"/>
      </w:pPr>
      <w:r>
        <w:rPr>
          <w:rFonts w:ascii="Times New Roman" w:hAnsi="Times New Roman" w:eastAsia="宋体"/>
          <w:b w:val="0"/>
          <w:sz w:val="18"/>
        </w:rPr>
        <w:t>[105] Interdisciplinarity traditional Chinese medicine microneedles in skin disease treatment. *PMC*, 2025. PMC12513212.</w:t>
      </w:r>
    </w:p>
    <w:p>
      <w:pPr>
        <w:spacing w:after="40" w:line="300" w:lineRule="auto"/>
        <w:ind w:left="482" w:hanging="482"/>
      </w:pPr>
      <w:r>
        <w:rPr>
          <w:rFonts w:ascii="Times New Roman" w:hAnsi="Times New Roman" w:eastAsia="宋体"/>
          <w:b w:val="0"/>
          <w:sz w:val="18"/>
        </w:rPr>
        <w:t>[106] Advances in Nanotechnology-Assisted Delivery of TCM-Derived Bioactive Compounds for Wound Repair. *PMC*, 2026. PMC13118309.</w:t>
      </w:r>
    </w:p>
    <w:p>
      <w:pPr>
        <w:spacing w:after="40" w:line="300" w:lineRule="auto"/>
        <w:ind w:left="482" w:hanging="482"/>
      </w:pPr>
      <w:r>
        <w:rPr>
          <w:rFonts w:ascii="Times New Roman" w:hAnsi="Times New Roman" w:eastAsia="宋体"/>
          <w:b w:val="0"/>
          <w:sz w:val="18"/>
        </w:rPr>
        <w:t>[107] Pan T, Dong Z, Zhang H, et al. Single-cell sequencing reveals cellular heterogeneity and molecular mechanisms in tendon and enthesis injury repair[J]. *Front Physiol*, 2025, 16: 1685955. DOI: 10.3389/fphys.2025.1685955. PMID: 41234689.</w:t>
      </w:r>
    </w:p>
    <w:p>
      <w:pPr>
        <w:spacing w:after="40" w:line="300" w:lineRule="auto"/>
        <w:ind w:left="482" w:hanging="482"/>
      </w:pPr>
      <w:r>
        <w:rPr>
          <w:rFonts w:ascii="Times New Roman" w:hAnsi="Times New Roman" w:eastAsia="宋体"/>
          <w:b w:val="0"/>
          <w:sz w:val="18"/>
        </w:rPr>
        <w:t>[108] Muscat S, Nichols AEC, Gira E, et al. CCR2 is expressed by tendon resident macrophage and T cells, while CCR2 deficiency impairs tendon healing via blunted involvement of tendon-resident and circulating monocytes/macrophages[J]. *FASEB J*, 2022, 36(11): e22607. DOI: 10.1096/fj.202201162R. PMID: 36250393.</w:t>
      </w:r>
    </w:p>
    <w:p>
      <w:pPr>
        <w:spacing w:after="40" w:line="300" w:lineRule="auto"/>
        <w:ind w:left="482" w:hanging="482"/>
      </w:pPr>
      <w:r>
        <w:rPr>
          <w:rFonts w:ascii="Times New Roman" w:hAnsi="Times New Roman" w:eastAsia="宋体"/>
          <w:b w:val="0"/>
          <w:sz w:val="18"/>
        </w:rPr>
        <w:t>[109] Mimpen JY, Baldwin MJ, Paul C, et al. Exploring cellular changes in ruptured human quadriceps tendons at single-cell resolution[J]. *J Physiol*, 2025, 603(16): 4535-4554. DOI: 10.1113/JP287812. PMID: 40232153.</w:t>
      </w:r>
    </w:p>
    <w:p>
      <w:pPr>
        <w:spacing w:after="40" w:line="300" w:lineRule="auto"/>
        <w:ind w:left="482" w:hanging="482"/>
      </w:pPr>
      <w:r>
        <w:rPr>
          <w:rFonts w:ascii="Times New Roman" w:hAnsi="Times New Roman" w:eastAsia="宋体"/>
          <w:b w:val="0"/>
          <w:sz w:val="18"/>
        </w:rPr>
        <w:t>[110] Zhao L, et al. Single Cell and Spatial Transcriptomics Define a Proinflammatory and Profibrotic Niche After Kidney Injury. *Adv Sci*, 2025. DOI: 10.1002/advs.202503691</w:t>
      </w:r>
    </w:p>
    <w:p>
      <w:pPr>
        <w:spacing w:after="40" w:line="300" w:lineRule="auto"/>
        <w:ind w:left="482" w:hanging="482"/>
      </w:pPr>
      <w:r>
        <w:rPr>
          <w:rFonts w:ascii="Times New Roman" w:hAnsi="Times New Roman" w:eastAsia="宋体"/>
          <w:b w:val="0"/>
          <w:sz w:val="18"/>
        </w:rPr>
        <w:t>[111] Li W, et al. Metabolic remodeling in tumor-associated macrophages contributing to antitumor activity of cryptotanshinone by regulating TRAF6-ASK1 axis. *PMC*, 2022. PMC9271981.</w:t>
      </w:r>
    </w:p>
    <w:p>
      <w:pPr>
        <w:spacing w:after="40" w:line="300" w:lineRule="auto"/>
        <w:ind w:left="482" w:hanging="482"/>
      </w:pPr>
      <w:r>
        <w:rPr>
          <w:rFonts w:ascii="Times New Roman" w:hAnsi="Times New Roman" w:eastAsia="宋体"/>
          <w:b w:val="0"/>
          <w:sz w:val="18"/>
        </w:rPr>
        <w:t>[112] Zhang Y, et al. Integration of single-cell sequencing and multi-omics approaches with pharmacological analysis to unveil biomarkers and mechanisms of TCM in treating heart diseases. *Pharmacol Res*, 2026. DOI: 10.1016/j.phrs.2026 (具体待确认).</w:t>
      </w:r>
    </w:p>
    <w:p>
      <w:pPr>
        <w:spacing w:after="40" w:line="300" w:lineRule="auto"/>
        <w:ind w:left="482" w:hanging="482"/>
      </w:pPr>
      <w:r>
        <w:rPr>
          <w:rFonts w:ascii="Times New Roman" w:hAnsi="Times New Roman" w:eastAsia="宋体"/>
          <w:b w:val="0"/>
          <w:sz w:val="18"/>
        </w:rPr>
        <w:t>[113] Wang L, et al. AI driven network pharmacology: Multi-scale mechanisms of traditional Chinese medicine from molecular to patient analysis. *Comput Struct Biotechnol J*, 2025, 28: 107-125. PMC12663848.</w:t>
      </w:r>
    </w:p>
    <w:p>
      <w:pPr>
        <w:spacing w:after="40" w:line="300" w:lineRule="auto"/>
        <w:ind w:left="482" w:hanging="482"/>
      </w:pPr>
      <w:r>
        <w:rPr>
          <w:rFonts w:ascii="Times New Roman" w:hAnsi="Times New Roman" w:eastAsia="宋体"/>
          <w:b w:val="0"/>
          <w:sz w:val="18"/>
        </w:rPr>
        <w:t>[114] Guo C, Li Q, Liang W, Lu J, Yue W, et al. AI-enabled target discovery in traditional Chinese medicine: from computational prediction to experimental validation. *Targetome*, 2026, 2(3): e029. DOI: 10.48130/targetome-0026-0027</w:t>
      </w:r>
    </w:p>
    <w:p>
      <w:pPr>
        <w:spacing w:after="40" w:line="300" w:lineRule="auto"/>
        <w:ind w:left="482" w:hanging="482"/>
      </w:pPr>
      <w:r>
        <w:rPr>
          <w:rFonts w:ascii="Times New Roman" w:hAnsi="Times New Roman" w:eastAsia="宋体"/>
          <w:b w:val="0"/>
          <w:sz w:val="18"/>
        </w:rPr>
        <w:t>[115] Li W, et al. Single-cell sequencing and network pharmacology coupled with molecular docking and experimental validation reveal the effects of YPFS on macrophages in stage I non-small cell lung cancer. *Cancer Immunol Immunother*, 2026, 75: 27. DOI: 10.1007/s00262-026-04305-2</w:t>
      </w:r>
    </w:p>
    <w:p>
      <w:pPr>
        <w:spacing w:after="40" w:line="300" w:lineRule="auto"/>
        <w:ind w:left="482" w:hanging="482"/>
      </w:pPr>
      <w:r>
        <w:rPr>
          <w:rFonts w:ascii="Times New Roman" w:hAnsi="Times New Roman" w:eastAsia="宋体"/>
          <w:b w:val="0"/>
          <w:sz w:val="18"/>
        </w:rPr>
        <w:t>[116] Li S, et al. The integration of machine learning into traditional Chinese medicine. *J Pharm Anal*, 2024. (被引24次). DOI: 10.1016/j.jpha.2024.</w:t>
      </w:r>
    </w:p>
    <w:p>
      <w:pPr>
        <w:spacing w:after="40" w:line="300" w:lineRule="auto"/>
        <w:ind w:left="482" w:hanging="482"/>
      </w:pPr>
      <w:r>
        <w:rPr>
          <w:rFonts w:ascii="Times New Roman" w:hAnsi="Times New Roman" w:eastAsia="宋体"/>
          <w:b w:val="0"/>
          <w:sz w:val="18"/>
        </w:rPr>
        <w:t>[117] Wu L, Zhang Y, Zhang G, et al. Microbiota-associated metabolite pantothenic acid enhances skeletal muscle contusion repair via epigenetic regulation of macrophage M2 polarization. *J Transl Med*, 2026, 24: 652. PMID: 41947174. DOI: 10.1186/s12967-026-08087-0</w:t>
      </w:r>
    </w:p>
    <w:p>
      <w:pPr>
        <w:spacing w:after="60" w:line="360" w:lineRule="auto"/>
        <w:ind w:firstLine="0"/>
      </w:pPr>
      <w:r>
        <w:rPr>
          <w:rFonts w:ascii="Times New Roman" w:hAnsi="Times New Roman" w:eastAsia="宋体"/>
          <w:b/>
          <w:sz w:val="21"/>
        </w:rPr>
        <w:t>致谢：</w:t>
      </w:r>
      <w:r>
        <w:rPr>
          <w:rFonts w:ascii="Times New Roman" w:hAnsi="Times New Roman" w:eastAsia="宋体"/>
          <w:b w:val="0"/>
          <w:sz w:val="21"/>
        </w:rPr>
        <w:t xml:space="preserve"> 本研究得到[基金信息]资助。</w:t>
      </w:r>
    </w:p>
    <w:p>
      <w:pPr>
        <w:spacing w:after="60" w:line="360" w:lineRule="auto"/>
        <w:ind w:firstLine="0"/>
      </w:pPr>
      <w:r>
        <w:rPr>
          <w:rFonts w:ascii="Times New Roman" w:hAnsi="Times New Roman" w:eastAsia="宋体"/>
          <w:b/>
          <w:sz w:val="21"/>
        </w:rPr>
        <w:t>利益冲突：</w:t>
      </w:r>
      <w:r>
        <w:rPr>
          <w:rFonts w:ascii="Times New Roman" w:hAnsi="Times New Roman" w:eastAsia="宋体"/>
          <w:b w:val="0"/>
          <w:sz w:val="21"/>
        </w:rPr>
        <w:t xml:space="preserve"> 所有作者均声明不存在利益冲突。</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