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261030｜本土法人｜研華2395</w:t>
      </w:r>
    </w:p>
    <w:p>
      <w:r>
        <w:t>研華(2395)　本土法人（券商未具名）：Trading Buy，目標價 803 元</w:t>
      </w:r>
    </w:p>
    <w:p>
      <w:r>
        <w:t>資料日期：2026-10-30　｜　盤後場次（10/30 17:55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本土法人（報導未具名）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電腦及週邊－工業電腦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Trading Buy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803 元</w:t>
            </w:r>
          </w:p>
        </w:tc>
      </w:tr>
    </w:tbl>
    <w:p>
      <w:r>
        <w:rPr>
          <w:b/>
        </w:rPr>
        <w:t>二、論點</w:t>
      </w:r>
    </w:p>
    <w:p>
      <w:r>
        <w:t>• 本土法人給予「Trading Buy」、目標價 803 元；研華 10/30 盤中逆勢上漲 2.82% 至 692 元。</w:t>
      </w:r>
    </w:p>
    <w:p>
      <w:r>
        <w:t>• 第 3 季 B/B 值 1.64，北美 2.12、歐洲 1.52、中國 1.50，各區接單熱絡；全年營收可望年增逾 50%、站上千億元。</w:t>
      </w:r>
    </w:p>
    <w:p>
      <w:r>
        <w:t>• 法人預估今年 EPS 挑戰 20 元、明年上看 30 元；Edge AI 營收占比今年目標挑戰 30%。</w:t>
      </w:r>
    </w:p>
    <w:p>
      <w:r>
        <w:rPr>
          <w:b/>
        </w:rPr>
        <w:t>三、風險</w:t>
      </w:r>
    </w:p>
    <w:p>
      <w:r>
        <w:t>• 記憶體與原物料價格上漲、成本轉嫁速度不及，毛利率承壓。</w:t>
      </w:r>
    </w:p>
    <w:p>
      <w:r>
        <w:t>• 2027 年高基期挑戰；11/4 法說會展望若不如預期。</w:t>
      </w:r>
    </w:p>
    <w:p>
      <w:r>
        <w:rPr>
          <w:b/>
        </w:rPr>
        <w:t>四、來源連結</w:t>
      </w:r>
    </w:p>
    <w:p>
      <w:r>
        <w:t>• 中時新聞網｜《電週邊》研華翻紅逆攻 土洋看法不同調（10/30 12:29）　https://www.chinatimes.com/realtimenews/20261030002262-260410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