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261030｜美系外資｜研華2395</w:t>
      </w:r>
    </w:p>
    <w:p>
      <w:r>
        <w:t>研華(2395)　美系外資（券商未具名）：中立（維持），目標價 670 元</w:t>
      </w:r>
    </w:p>
    <w:p>
      <w:r>
        <w:t>資料日期：2026-10-30　｜　盤後場次（10/30 17:55 收錄）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美系外資（報導未具名）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電腦及週邊－工業電腦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中立（維持）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670 元</w:t>
            </w:r>
          </w:p>
        </w:tc>
      </w:tr>
    </w:tbl>
    <w:p>
      <w:r>
        <w:rPr>
          <w:b/>
        </w:rPr>
        <w:t>二、論點</w:t>
      </w:r>
    </w:p>
    <w:p>
      <w:r>
        <w:t>• 研華第 3 季營收 324.40 億元、季增 24.17%、年增 82.52%，創歷史新高；EPS 7.15 元，獲利大幅優於市場預期。</w:t>
      </w:r>
    </w:p>
    <w:p>
      <w:r>
        <w:t>• 毛利率受記憶體與原物料漲價影響降至 36.67%、季減 1.01 個百分點；營益率升至 20.95%。</w:t>
      </w:r>
    </w:p>
    <w:p>
      <w:r>
        <w:t>• 美系外資認為 2027 年將面臨高基期、原料漲價及成本轉嫁節奏較慢的利潤風險，維持「中立」、目標價 670 元。</w:t>
      </w:r>
    </w:p>
    <w:p>
      <w:r>
        <w:rPr>
          <w:b/>
        </w:rPr>
        <w:t>三、風險</w:t>
      </w:r>
    </w:p>
    <w:p>
      <w:r>
        <w:t>• 記憶體與原物料價格上漲、成本轉嫁速度不及，毛利率承壓。</w:t>
      </w:r>
    </w:p>
    <w:p>
      <w:r>
        <w:t>• 2027 年高基期挑戰；11/4 法說會展望若不如預期。</w:t>
      </w:r>
    </w:p>
    <w:p>
      <w:r>
        <w:rPr>
          <w:b/>
        </w:rPr>
        <w:t>四、來源連結</w:t>
      </w:r>
    </w:p>
    <w:p>
      <w:r>
        <w:t>• 中時新聞網｜《電週邊》研華翻紅逆攻 土洋看法不同調（10/30 12:29）　https://www.chinatimes.com/realtimenews/20261030002262-260410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