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32"/>
          <w:szCs w:val="32"/>
        </w:rPr>
        <w:t xml:space="preserve">台股券商研究報告總覽｜2026/07/16 早盤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595959"/>
          <w:sz w:val="20"/>
          <w:szCs w:val="20"/>
        </w:rPr>
        <w:t xml:space="preserve">資料窗口：2026/07/15 08:00 ～ 2026/07/16 08:00（依公開新聞整理）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塑化／電子材料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350"/>
        <w:gridCol w:w="1550"/>
        <w:gridCol w:w="3326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小摩（外資）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南亞(1303)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 / 200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Q2 EPS 3.37元大勝共識2元；切入T-glass與AI CCL供應鏈，電子材料營益率2027年估攀30%歷史新高，列台塑四寶首選</w:t>
            </w:r>
          </w:p>
        </w:tc>
      </w:tr>
      <w:tr>
        <w:tc>
          <w:tcPr>
            <w:tcW w:type="dxa" w:w="14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統一投顧（內資）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南亞(1303)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未揭露(看多)</w:t>
            </w:r>
          </w:p>
        </w:tc>
        <w:tc>
          <w:tcPr>
            <w:tcW w:type="dxa" w:w="15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300 / 未揭露</w:t>
            </w:r>
          </w:p>
        </w:tc>
        <w:tc>
          <w:tcPr>
            <w:tcW w:type="dxa" w:w="3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ABF載板、CCL、銅箔、玻纖布供需缺口再擴大，電子材料漲價延續；7月營收估優於6月、Q3優於Q2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半導體－記憶體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350"/>
        <w:gridCol w:w="1550"/>
        <w:gridCol w:w="3326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小摩（外資）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華邦電(2344)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加碼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360 / 未揭露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利基型DRAM定價優於預期＋NOR Flash隨AI伺服器放量；eSSD的DRAM cache需求可支撐DDR4供給緊張兩年，2027年EPS估60.03元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半導體－晶圓代工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350"/>
        <w:gridCol w:w="1550"/>
        <w:gridCol w:w="3326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麥格理（外資）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聯電(2303)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優於大盤(初評)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258 / 初次覆蓋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成熟製程上升循環初期四大利多（庫存去化、AI需求、中國/非中國分流、大廠淡出8吋）；2026-28年EPS 4.9/7.4/11.7元</w:t>
            </w:r>
          </w:p>
        </w:tc>
      </w:tr>
      <w:tr>
        <w:tc>
          <w:tcPr>
            <w:tcW w:type="dxa" w:w="14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Factset彙整（外資）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聯電(2303)</w:t>
            </w:r>
          </w:p>
        </w:tc>
        <w:tc>
          <w:tcPr>
            <w:tcW w:type="dxa" w:w="13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50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92.5 / 88</w:t>
            </w:r>
          </w:p>
        </w:tc>
        <w:tc>
          <w:tcPr>
            <w:tcW w:type="dxa" w:w="3326"/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21位分析師目標價中位數上修5.11%；最高235、最低47（與麥格理258差距大，顯示觀點分歧）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Factset彙整（外資）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力積電(6770)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88.8 / 78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6位分析師目標價中位數上修13.85%；最高111、最低58；評級樂觀4位、中立2位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光學／隱形眼鏡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1350"/>
        <w:gridCol w:w="1350"/>
        <w:gridCol w:w="1550"/>
        <w:gridCol w:w="3326"/>
      </w:tblGrid>
      <w:tr>
        <w:trPr>
          <w:tblHeader/>
        </w:trPr>
        <w:tc>
          <w:tcPr>
            <w:tcW w:type="dxa" w:w="14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券商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個股</w:t>
            </w:r>
          </w:p>
        </w:tc>
        <w:tc>
          <w:tcPr>
            <w:tcW w:type="dxa" w:w="13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評等</w:t>
            </w:r>
          </w:p>
        </w:tc>
        <w:tc>
          <w:tcPr>
            <w:tcW w:type="dxa" w:w="1550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目標價(新/舊)</w:t>
            </w:r>
          </w:p>
        </w:tc>
        <w:tc>
          <w:tcPr>
            <w:tcW w:type="dxa" w:w="3326"/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一句話重點</w:t>
            </w:r>
          </w:p>
        </w:tc>
      </w:tr>
      <w:tr>
        <w:tc>
          <w:tcPr>
            <w:tcW w:type="dxa" w:w="14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Factset彙整（外資）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晶碩(6491)</w:t>
            </w:r>
          </w:p>
        </w:tc>
        <w:tc>
          <w:tcPr>
            <w:tcW w:type="dxa" w:w="13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410 / 390</w:t>
            </w:r>
          </w:p>
        </w:tc>
        <w:tc>
          <w:tcPr>
            <w:tcW w:type="dxa" w:w="3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5位分析師目標價中位數上修5.13%，全數給予積極樂觀評級</w:t>
            </w:r>
          </w:p>
        </w:tc>
      </w:tr>
    </w:tbl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備註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1. 台積電(2330)於本日（7/16）召開法說會，法說前外資觀點（大摩情境分析等）已於 7/15 早盤總覽收錄，本場次無新增。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2. 自選股萬潤(6187)本窗口無新增券商觀點（美銀 7/15 初評買進、目標價1,500元已收錄）。</w:t>
      </w: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sz w:val="22"/>
          <w:szCs w:val="22"/>
        </w:rPr>
        <w:t xml:space="preserve">3. 收件匣本場次無新進完整報告 PDF。</w:t>
      </w:r>
    </w:p>
    <w:p>
      <w:pPr>
        <w:pBdr>
          <w:bottom w:val="single" w:color="1F4E79" w:sz="6" w:space="2"/>
        </w:pBdr>
        <w:spacing w:after="120" w:before="240"/>
      </w:pPr>
      <w:r>
        <w:rPr>
          <w:rFonts w:ascii="Microsoft JhengHei" w:cs="Microsoft JhengHei" w:eastAsia="Microsoft JhengHei" w:hAnsi="Microsoft JhengHei"/>
          <w:b/>
          <w:bCs/>
          <w:i w:val="false"/>
          <w:iCs w:val="false"/>
          <w:color w:val="1F4E79"/>
          <w:sz w:val="26"/>
          <w:szCs w:val="26"/>
        </w:rPr>
        <w:t xml:space="preserve">來源連結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工商時報（小摩/統一投顧－南亞）：https://www.ctee.com.tw/news/20260715701858-430201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工商時報（小摩－華邦電；麥格理－聯電）：https://www.ctee.com.tw/news/20260716700217-430201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鉅亨網 Factset（聯電）：https://news.cnyes.com/news/id/6535307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鉅亨網 Factset（晶碩）：https://news.cnyes.com/news/id/6535037</w:t>
      </w:r>
    </w:p>
    <w:p>
      <w:pPr>
        <w:spacing w:after="40"/>
      </w:pPr>
      <w:r>
        <w:rPr>
          <w:rFonts w:ascii="Microsoft JhengHei" w:cs="Microsoft JhengHei" w:eastAsia="Microsoft JhengHei" w:hAnsi="Microsoft JhengHei"/>
          <w:b w:val="false"/>
          <w:bCs w:val="false"/>
          <w:i w:val="false"/>
          <w:iCs w:val="false"/>
          <w:color w:val="404040"/>
          <w:sz w:val="18"/>
          <w:szCs w:val="18"/>
        </w:rPr>
        <w:t xml:space="preserve">• 鉅亨網 Factset（力積電）：https://news.cnyes.com/news/id/6536313</w:t>
      </w:r>
    </w:p>
    <w:p>
      <w:pPr>
        <w:spacing w:before="240"/>
      </w:pPr>
      <w:r>
        <w:rPr>
          <w:rFonts w:ascii="Microsoft JhengHei" w:cs="Microsoft JhengHei" w:eastAsia="Microsoft JhengHei" w:hAnsi="Microsoft JhengHei"/>
          <w:b w:val="false"/>
          <w:bCs w:val="false"/>
          <w:i/>
          <w:iCs/>
          <w:color w:val="808080"/>
          <w:sz w:val="18"/>
          <w:szCs w:val="18"/>
        </w:rPr>
        <w:t xml:space="preserve">本總覽依公開新聞整理，非完整報告；數字以原始報告為準。</w:t>
      </w:r>
    </w:p>
    <w:sectPr>
      <w:headerReference w:type="default" r:id="rId9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silver" stroked="f">
          <v:fill opacity=".25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9" Type="http://schemas.openxmlformats.org/officeDocument/2006/relationships/header" Target="header1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2026-07-16T00:18:49.803Z</dcterms:created>
  <dcterms:modified xsi:type="dcterms:W3CDTF">2026-07-16T00:18:49.803Z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