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6"/>
          <w:szCs w:val="36"/>
        </w:rPr>
        <w:t xml:space="preserve">台股券商報告總覽（早盤）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2026年7月20日（一）｜資料期間：近24小時公開新聞｜共 6 檔新觀點（5 檔含具體評等/目標價）</w:t>
      </w:r>
    </w:p>
    <w:p>
      <w:pPr>
        <w:pBdr>
          <w:bottom w:val="single" w:color="1F3864" w:sz="8"/>
        </w:pBd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半導體－封測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1200"/>
        <w:gridCol w:w="1800"/>
        <w:gridCol w:w="3210"/>
      </w:tblGrid>
      <w:t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2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老牌投顧(未具名/內資)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力成(6239)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400 / 維持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記憶體股跌逾2成之際 攜博通4億美元合資FOPLP 2027成長重心轉邏輯封裝與CPO 今明年EPS 12.16/18.16元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半導體－設備與耗材（台積電資本支出受惠 4 檔首選）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1200"/>
        <w:gridCol w:w="1800"/>
        <w:gridCol w:w="3210"/>
      </w:tblGrid>
      <w:t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2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龍頭券商旗下投顧(未具名/內資)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中砂(1650)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760 / 未揭露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鑽石碟等耗材隨N3/N2擴產放量 在手訂單創新高 能見度至2028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帆宣(6196)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650 / 未揭露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廠務自動化+設備代工雙引擎 美AZ廠P2今年完工入帳高峰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崇越(5434)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650 / 未揭露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半導體材料代理龍頭 N3/N2擴產耗材需求同步成長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京鼎(3413)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380 / 未揭露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前段設備代工利基 台積capex年增46~56%直接受惠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註：本組報告為投顧16日出具、20日見報；台積電2026年資本支出上修至600~640億美元，AZ廠再加碼1,000億美元，投顧估未來3年capex CAGR&gt;22%。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半導體－先進封裝（產業觀點，無評等/目標價）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1200"/>
        <w:gridCol w:w="1800"/>
        <w:gridCol w:w="3210"/>
      </w:tblGrid>
      <w:t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2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郭明錤(天風國際/外資)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台積電(2330)CoPoS供應鏈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無(產業觀點)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試產線1年後成熟≠量產線成熟 現階段參與CoPoS供應鏈的面板/載板廠不一定是最終供應商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補充：郭明錤解讀台積電法說「玻璃封裝」即CoPoS（玻璃載具+玻璃核心載板），估2027下半年以510×515mm規格做量產前模擬，且不使用玻璃中介層；後續面板、載板大廠法說將有更多說明，供應鏈恐洗牌。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1. 旺得富理財網（2026-07-20 05:29）記憶體團滅！老牌投顧點名力成：https://wantrich.chinatimes.com/news/20260720900002-420101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2. 旺得富理財網（2026-07-20 05:01）大咖投顧首選4家積友友：https://wantrich.chinatimes.com/news/20260720900001-420101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3. 旺得富理財網（2026-07-20 04:10）台積CoPoS供應商 郭明錤估有變數：https://wantrich.chinatimes.com/news/20260720900013-420101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本文件依公開新聞整理，僅供研究參考，非投資建議。</w:t>
      </w:r>
    </w:p>
    <w:sectPr>
      <w:headerReference w:type="default" r:id="rIdWM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WM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2026-07-20T00:15:18.372Z</dcterms:created>
  <dcterms:modified xsi:type="dcterms:W3CDTF">2026-07-20T00:15:18.372Z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