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A3E6E"/>
          <w:sz w:val="30"/>
          <w:szCs w:val="30"/>
        </w:rPr>
        <w:t xml:space="preserve">券商報告總覽（早盤）2026/07/23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color w:val="666666"/>
          <w:sz w:val="18"/>
          <w:szCs w:val="18"/>
        </w:rPr>
        <w:t xml:space="preserve">彙整期間：7/22 08:00 ～ 7/23 08:00 台股券商觀點公開新聞　｜　整理：旺來研究報告助手</w:t>
      </w:r>
    </w:p>
    <w:p>
      <w:pPr>
        <w:pBdr>
          <w:bottom w:val="single" w:color="1A3E6E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A3E6E"/>
          <w:sz w:val="24"/>
          <w:szCs w:val="24"/>
        </w:rPr>
        <w:t xml:space="preserve">市場脈絡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台股 7/22 大漲 592 點收 44,825 點，成交量擴增至 1.02 兆元，價漲量增；外資終結連 13 賣、轉買超 173.4 億元，投信連 21 買，三大法人合計買超 338.4 億元。盤面以記憶體、CPO 族群最強，塑膠股漲 4.6%。法人看台股大漲小回、朝月線約 45,360 點邁進；惟凱基投顧提醒 20 日均線與 7/17 長黑高點反壓仍在，量能須站上 20 日均量。另台積電 7/22 夜盤走跌，今日開盤留意震盪。</w:t>
      </w:r>
    </w:p>
    <w:p>
      <w:pPr>
        <w:pBdr>
          <w:bottom w:val="single" w:color="1A3E6E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A3E6E"/>
          <w:sz w:val="24"/>
          <w:szCs w:val="24"/>
        </w:rPr>
        <w:t xml:space="preserve">新增券商觀點（按產業分組）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550"/>
        <w:gridCol w:w="1550"/>
        <w:gridCol w:w="1450"/>
        <w:gridCol w:w="3706"/>
      </w:tblGrid>
      <w:tr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券商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個股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評等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目標價(新/舊)</w:t>
            </w:r>
          </w:p>
        </w:tc>
        <w:tc>
          <w:tcPr>
            <w:tcW w:type="dxa" w:w="37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一句話重點</w:t>
            </w:r>
          </w:p>
        </w:tc>
      </w:tr>
      <w:tr>
        <w:tc>
          <w:tcPr>
            <w:tcW w:type="dxa" w:w="9706"/>
            <w:gridSpan w:val="5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E6E"/>
                <w:sz w:val="19"/>
                <w:szCs w:val="19"/>
              </w:rPr>
              <w:t xml:space="preserve">電子代工－AI 伺服器（EMS）</w:t>
            </w:r>
          </w:p>
        </w:tc>
      </w:tr>
      <w:tr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瑞銀(外資)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鴻海(2317)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買進(維持)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320 / 310</w:t>
            </w:r>
          </w:p>
        </w:tc>
        <w:tc>
          <w:tcPr>
            <w:tcW w:type="dxa" w:w="37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Q2 營收季增 19% 優於預期，2026/27 EPS 上修至 18/22 元，8/12 法說展望可望優於預期</w:t>
            </w:r>
          </w:p>
        </w:tc>
      </w:tr>
      <w:tr>
        <w:tc>
          <w:tcPr>
            <w:tcW w:type="dxa" w:w="9706"/>
            <w:gridSpan w:val="5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3E6E"/>
                <w:sz w:val="19"/>
                <w:szCs w:val="19"/>
              </w:rPr>
              <w:t xml:space="preserve">半導體－記憶體</w:t>
            </w:r>
          </w:p>
        </w:tc>
      </w:tr>
      <w:tr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本土投顧(未具名)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南亞科(2408)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看好(未揭露)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720 / 520</w:t>
            </w:r>
          </w:p>
        </w:tc>
        <w:tc>
          <w:tcPr>
            <w:tcW w:type="dxa" w:w="37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獲利爆發力；AI 帶動記憶體供需結構改善，估延續至 2028 年前後</w:t>
            </w:r>
          </w:p>
        </w:tc>
      </w:tr>
      <w:tr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大摩(外資)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旺宏(2337)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大中華區半導體首選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未揭露</w:t>
            </w:r>
          </w:p>
        </w:tc>
        <w:tc>
          <w:tcPr>
            <w:tcW w:type="dxa" w:w="37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AI 帶動需求，NAND 供不應求</w:t>
            </w:r>
          </w:p>
        </w:tc>
      </w:tr>
      <w:tr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本土券商(未具名)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旺宏(2337)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看好(未揭露)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220 / 新</w:t>
            </w:r>
          </w:p>
        </w:tc>
        <w:tc>
          <w:tcPr>
            <w:tcW w:type="dxa" w:w="37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基於 AI 需求及 NAND 供不應求給予 220 元</w:t>
            </w:r>
          </w:p>
        </w:tc>
      </w:tr>
      <w:tr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本土大咖法人(未具名)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華邦電(2344)</w:t>
            </w:r>
          </w:p>
        </w:tc>
        <w:tc>
          <w:tcPr>
            <w:tcW w:type="dxa" w:w="1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強力買進(維持)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285</w:t>
            </w:r>
          </w:p>
        </w:tc>
        <w:tc>
          <w:tcPr>
            <w:tcW w:type="dxa" w:w="37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DDR3 現貨大漲 114% 利基缺口擴大；高雄新廠 16 奈米 DDR4 放量，Q3 DRAM ASP 估季增 50%</w:t>
            </w:r>
          </w:p>
        </w:tc>
      </w:tr>
    </w:tbl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color w:val="888888"/>
          <w:sz w:val="17"/>
          <w:szCs w:val="17"/>
        </w:rPr>
        <w:t xml:space="preserve">註：評等/目標價以媒體報導為準，未具名券商與「未揭露」項目待原始報告確認。自選股萬潤(6187) 近 24 小時無新增券商觀點。另 7/22 媒體重提小摩華邦電 360 元，為 7/16 已收錄報告，不重複列入。</w:t>
      </w:r>
    </w:p>
    <w:p>
      <w:pPr>
        <w:pBdr>
          <w:bottom w:val="single" w:color="1A3E6E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A3E6E"/>
          <w:sz w:val="24"/>
          <w:szCs w:val="24"/>
        </w:rPr>
        <w:t xml:space="preserve">來源連結</w:t>
      </w:r>
    </w:p>
    <w:p>
      <w:pPr>
        <w:spacing w:after="60"/>
      </w:pPr>
      <w:hyperlink w:history="1" r:id="rIdb9srtrvgrv0sdnqxsla79">
        <w:r>
          <w:rPr>
            <w:rFonts w:ascii="Microsoft JhengHei" w:cs="Microsoft JhengHei" w:eastAsia="Microsoft JhengHei" w:hAnsi="Microsoft JhengHei"/>
            <w:color w:val="1155CC"/>
            <w:sz w:val="18"/>
            <w:szCs w:val="18"/>
            <w:u w:val="single"/>
          </w:rPr>
          <w:t xml:space="preserve">瑞銀：鴻海第2季營收優於預期 目標價上調至320元（經濟日報 2026/07/22）</w:t>
        </w:r>
      </w:hyperlink>
    </w:p>
    <w:p>
      <w:pPr>
        <w:spacing w:after="60"/>
      </w:pPr>
      <w:hyperlink w:history="1" r:id="rId8ttyewnbnyfl9w76uxjzh">
        <w:r>
          <w:rPr>
            <w:rFonts w:ascii="Microsoft JhengHei" w:cs="Microsoft JhengHei" w:eastAsia="Microsoft JhengHei" w:hAnsi="Microsoft JhengHei"/>
            <w:color w:val="1155CC"/>
            <w:sz w:val="18"/>
            <w:szCs w:val="18"/>
            <w:u w:val="single"/>
          </w:rPr>
          <w:t xml:space="preserve">南亞科、華邦電、旺宏…目標價上檔至少6成（今周刊轉載旺得富 2026/07/22）</w:t>
        </w:r>
      </w:hyperlink>
    </w:p>
    <w:p>
      <w:pPr>
        <w:spacing w:after="60"/>
      </w:pPr>
      <w:hyperlink w:history="1" r:id="rId0-_1j-v4qr52jgsnppa9m">
        <w:r>
          <w:rPr>
            <w:rFonts w:ascii="Microsoft JhengHei" w:cs="Microsoft JhengHei" w:eastAsia="Microsoft JhengHei" w:hAnsi="Microsoft JhengHei"/>
            <w:color w:val="1155CC"/>
            <w:sz w:val="18"/>
            <w:szCs w:val="18"/>
            <w:u w:val="single"/>
          </w:rPr>
          <w:t xml:space="preserve">記憶體反彈是死貓跳？大咖法人強力喊買華邦電 目標價285元（FTNN 2026/07/22）</w:t>
        </w:r>
      </w:hyperlink>
    </w:p>
    <w:p>
      <w:pPr>
        <w:spacing w:after="60"/>
      </w:pPr>
      <w:hyperlink w:history="1" r:id="rId1xaw7q9stdwg4enudb7c0">
        <w:r>
          <w:rPr>
            <w:rFonts w:ascii="Microsoft JhengHei" w:cs="Microsoft JhengHei" w:eastAsia="Microsoft JhengHei" w:hAnsi="Microsoft JhengHei"/>
            <w:color w:val="1155CC"/>
            <w:sz w:val="18"/>
            <w:szCs w:val="18"/>
            <w:u w:val="single"/>
          </w:rPr>
          <w:t xml:space="preserve">台股外資回頭點火AI股 法人：大漲小回朝月線45,360邁進（經濟日報 2026/07/23）</w:t>
        </w:r>
      </w:hyperlink>
    </w:p>
    <w:sectPr>
      <w:headerReference w:type="default" r:id="rId9"/>
      <w:pgSz w:w="11906" w:h="16838" w:orient="portrait"/>
      <w:pgMar w:top="11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9srtrvgrv0sdnqxsla79" Type="http://schemas.openxmlformats.org/officeDocument/2006/relationships/hyperlink" Target="https://udn.com/news/story/7252/9644763" TargetMode="External"/><Relationship Id="rId8ttyewnbnyfl9w76uxjzh" Type="http://schemas.openxmlformats.org/officeDocument/2006/relationships/hyperlink" Target="https://www.businesstoday.com.tw/article/category/183008/post/202607220013/" TargetMode="External"/><Relationship Id="rId0-_1j-v4qr52jgsnppa9m" Type="http://schemas.openxmlformats.org/officeDocument/2006/relationships/hyperlink" Target="https://www.ftnn.com.tw/news/563384" TargetMode="External"/><Relationship Id="rId1xaw7q9stdwg4enudb7c0" Type="http://schemas.openxmlformats.org/officeDocument/2006/relationships/hyperlink" Target="https://udn.com/news/story/7251/9645088" TargetMode="External"/><Relationship Id="rId11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2026-07-23T00:21:15.692Z</dcterms:created>
  <dcterms:modified xsi:type="dcterms:W3CDTF">2026-07-23T00:21:15.692Z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